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4.png" ContentType="image/png"/>
  <Override PartName="/word/media/rId41.png" ContentType="image/png"/>
  <Override PartName="/word/media/rId103.png" ContentType="image/png"/>
  <Override PartName="/word/media/rId65.png" ContentType="image/png"/>
  <Override PartName="/word/media/rId121.png" ContentType="image/png"/>
  <Override PartName="/word/media/rId125.png" ContentType="image/png"/>
  <Override PartName="/word/media/rId45.png" ContentType="image/png"/>
  <Override PartName="/word/media/rId107.png" ContentType="image/png"/>
  <Override PartName="/word/media/rId130.png" ContentType="image/png"/>
  <Override PartName="/word/media/rId58.png" ContentType="image/png"/>
  <Override PartName="/word/media/rId112.png" ContentType="image/png"/>
  <Override PartName="/word/media/rId116.png" ContentType="image/png"/>
  <Override PartName="/word/media/rId27.png" ContentType="image/png"/>
  <Override PartName="/word/media/rId91.png" ContentType="image/png"/>
  <Override PartName="/word/media/rId85.png" ContentType="image/png"/>
  <Override PartName="/word/media/rId80.png" ContentType="image/png"/>
  <Override PartName="/word/media/rId69.png" ContentType="image/png"/>
  <Override PartName="/word/media/rId37.png" ContentType="image/png"/>
  <Override PartName="/word/media/rId32.png" ContentType="image/png"/>
  <Override PartName="/word/media/rId95.png" ContentType="image/png"/>
  <Override PartName="/word/media/rId99.png" ContentType="image/png"/>
  <Override PartName="/word/media/rId7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p>
      <w:pPr>
        <w:pStyle w:val="Author"/>
      </w:pPr>
      <w:r>
        <w:t xml:space="preserve">Bertrand Maître, Daniel Capistrano, Helen Russell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market inequality, and poverty</w:t>
      </w:r>
      <w:r>
        <w:t xml:space="preserve"> </w:t>
      </w:r>
      <w:r>
        <w:t xml:space="preserve">(</w:t>
      </w:r>
      <w:hyperlink w:anchor="ref-roantree_poverty_2025">
        <w:r>
          <w:rPr>
            <w:rStyle w:val="Hyperlink"/>
          </w:rPr>
          <w:t xml:space="preserve">Roantree et al. 2025</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 xml:space="preserve">Figure 1</w:t>
        </w:r>
      </w:hyperlink>
      <w:r>
        <w:t xml:space="preserve">).</w:t>
      </w:r>
    </w:p>
    <w:p>
      <w:pPr>
        <w:numPr>
          <w:ilvl w:val="0"/>
          <w:numId w:val="1002"/>
        </w:numPr>
      </w:pPr>
      <w:r>
        <w:t xml:space="preserve">Female ESS respondents and those from lower social classes are more supportive of income redistribution (</w:t>
      </w:r>
      <w:hyperlink w:anchor="tbl-multiv-gincdif">
        <w:r>
          <w:rPr>
            <w:rStyle w:val="Hyperlink"/>
          </w:rPr>
          <w:t xml:space="preserve">Table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8</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hyperlink w:anchor="fig-benefits">
        <w:r>
          <w:rPr>
            <w:rStyle w:val="Hyperlink"/>
          </w:rPr>
          <w:t xml:space="preserve">Figure 7</w:t>
        </w:r>
      </w:hyperlink>
      <w:r>
        <w:t xml:space="preserve">).</w:t>
      </w:r>
    </w:p>
    <w:p>
      <w:pPr>
        <w:numPr>
          <w:ilvl w:val="0"/>
          <w:numId w:val="1002"/>
        </w:numPr>
      </w:pPr>
      <w:r>
        <w:t xml:space="preserve">In Ireland, perceptions of how unfairly high is the income of the rich is associated with support for redistribution as much as perceptions of how unfairly low is the income of the poor. In countries such as Norway and France, unfairly high incomes are more strongly associated with support for redistribution (</w:t>
      </w:r>
      <w:hyperlink w:anchor="fig-fairness">
        <w:r>
          <w:rPr>
            <w:rStyle w:val="Hyperlink"/>
          </w:rPr>
          <w:t xml:space="preserve">Figure 10</w:t>
        </w:r>
      </w:hyperlink>
      <w:r>
        <w:t xml:space="preserve">).</w:t>
      </w:r>
    </w:p>
    <w:p>
      <w:pPr>
        <w:numPr>
          <w:ilvl w:val="0"/>
          <w:numId w:val="1002"/>
        </w:numPr>
      </w:pPr>
      <w:r>
        <w:t xml:space="preserve">Support for redistribution among the working class in Ireland is now at the highest level since 2002 (</w:t>
      </w:r>
      <w:hyperlink w:anchor="fig-time-class">
        <w:r>
          <w:rPr>
            <w:rStyle w:val="Hyperlink"/>
          </w:rPr>
          <w:t xml:space="preserve">Figure 12</w:t>
        </w:r>
      </w:hyperlink>
      <w:r>
        <w:t xml:space="preserve">).</w:t>
      </w:r>
    </w:p>
    <w:p>
      <w:pPr>
        <w:numPr>
          <w:ilvl w:val="0"/>
          <w:numId w:val="1002"/>
        </w:numPr>
      </w:pPr>
      <w:r>
        <w:t xml:space="preserve">Events such as government campaigns and budget announcements have significant but short-lived impact on welfare attitudes (</w:t>
      </w:r>
      <w:r>
        <w:rPr>
          <w:b/>
          <w:bCs/>
        </w:rPr>
        <w:t xml:space="preserve">?@fig-fig-dsp-model</w:t>
      </w:r>
      <w:r>
        <w:t xml:space="preserve">) and support for redistribution (</w:t>
      </w:r>
      <w:r>
        <w:rPr>
          <w:b/>
          <w:bCs/>
        </w:rPr>
        <w:t xml:space="preserve">?@fig-fig-budget-model</w:t>
      </w:r>
      <w:r>
        <w:t xml:space="preserve">).</w:t>
      </w:r>
    </w:p>
    <w:p>
      <w:pPr>
        <w:numPr>
          <w:ilvl w:val="0"/>
          <w:numId w:val="1002"/>
        </w:numPr>
      </w:pPr>
      <w:r>
        <w:t xml:space="preserve">Those who experienced job loss during the COVID19 pandemic are more supportive of redistribution, regardless of their financial situation (</w:t>
      </w:r>
      <w:hyperlink w:anchor="fig-covid">
        <w:r>
          <w:rPr>
            <w:rStyle w:val="Hyperlink"/>
          </w:rPr>
          <w:t xml:space="preserve">Figure 20</w:t>
        </w:r>
      </w:hyperlink>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 in welfare attitudes</w:t>
      </w:r>
      <w:r>
        <w:t xml:space="preserve"> </w:t>
      </w:r>
      <w:r>
        <w:t xml:space="preserve">(</w:t>
      </w:r>
      <w:hyperlink w:anchor="ref-goerres_can_2012">
        <w:r>
          <w:rPr>
            <w:rStyle w:val="Hyperlink"/>
          </w:rPr>
          <w:t xml:space="preserve">Goerres and Prinzen 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w:t>
      </w:r>
      <w:r>
        <w:t xml:space="preserve"> </w:t>
      </w:r>
      <w:r>
        <w:t xml:space="preserve">Oesch (</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behaviours and political attitudes.</w:t>
      </w:r>
    </w:p>
    <w:bookmarkEnd w:id="22"/>
    <w:bookmarkEnd w:id="23"/>
    <w:bookmarkStart w:id="56"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p/>
        </w:tc>
      </w:tr>
    </w:tbl>
    <w:p>
      <w:pPr>
        <w:pStyle w:val="BodyText"/>
      </w:pPr>
      <w:r>
        <w:t xml:space="preserve">Recent studies have raised concerns in relation to the reliability of this question as a measurement of support for redistribution.</w:t>
      </w:r>
      <w:r>
        <w:t xml:space="preserve"> </w:t>
      </w:r>
      <w:r>
        <w:t xml:space="preserve">Margalit and Raviv (</w:t>
      </w:r>
      <w:hyperlink w:anchor="ref-margalit_does_2024">
        <w:r>
          <w:rPr>
            <w:rStyle w:val="Hyperlink"/>
          </w:rPr>
          <w:t xml:space="preserve">2024</w:t>
        </w:r>
      </w:hyperlink>
      <w:r>
        <w:t xml:space="preserve">)</w:t>
      </w:r>
      <w:r>
        <w:t xml:space="preserve"> </w:t>
      </w:r>
      <w:r>
        <w:t xml:space="preserve">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w:t>
      </w:r>
      <w:r>
        <w:t xml:space="preserve"> </w:t>
      </w:r>
      <w:r>
        <w:t xml:space="preserve">(</w:t>
      </w:r>
      <w:hyperlink w:anchor="ref-dallinger_ambivalence_2022">
        <w:r>
          <w:rPr>
            <w:rStyle w:val="Hyperlink"/>
          </w:rPr>
          <w:t xml:space="preserve">Dallinger 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w:t>
      </w:r>
      <w:r>
        <w:t xml:space="preserve"> </w:t>
      </w:r>
      <w:hyperlink w:anchor="sec-what">
        <w:r>
          <w:rPr>
            <w:rStyle w:val="Hyperlink"/>
          </w:rPr>
          <w:t xml:space="preserve">Chapter 3</w:t>
        </w:r>
      </w:hyperlink>
      <w:r>
        <w:t xml:space="preserv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overall levels of support for income redistribution in 2023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w:t>
      </w:r>
      <w:hyperlink w:anchor="ref-meuleman_past_2018">
        <w:r>
          <w:rPr>
            <w:rStyle w:val="Hyperlink"/>
          </w:rPr>
          <w:t xml:space="preserve">Meuleman et al. 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suggesting that countries with higher income inequality tend to be more supportive of income redistribution. About 76% of respondents in Ireland indicated that they either</w:t>
      </w:r>
      <w:r>
        <w:t xml:space="preserve"> </w:t>
      </w:r>
      <w:r>
        <w:t xml:space="preserve">‘agree’</w:t>
      </w:r>
      <w:r>
        <w:t xml:space="preserve"> </w:t>
      </w:r>
      <w:r>
        <w:t xml:space="preserve">(45%) or</w:t>
      </w:r>
      <w:r>
        <w:t xml:space="preserve"> </w:t>
      </w:r>
      <w:r>
        <w:t xml:space="preserve">‘agree strongly’</w:t>
      </w:r>
      <w:r>
        <w:t xml:space="preserve"> </w:t>
      </w:r>
      <w:r>
        <w:t xml:space="preserve">(31%) that the government should reduce income differences. This percentage is higher than the European average (71%), and the one observed in France (72%), UK (70%), the Netherlands (63%) and Poland (59%).</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left"/>
              <w:spacing w:before="200"/>
              <w:pStyle w:val="ImageCaption"/>
            </w:pPr>
            <w:r>
              <w:t xml:space="preserve">Figure 1: Proportion who agree that the</w:t>
            </w:r>
            <w:r>
              <w:t xml:space="preserve"> </w:t>
            </w:r>
            <w:r>
              <w:t xml:space="preserve">‘Government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36" w:name="X444954fb25763f597bb4d505e5e46bc32fb4872"/>
    <w:p>
      <w:pPr>
        <w:pStyle w:val="Heading2"/>
      </w:pPr>
      <w:r>
        <w:t xml:space="preserve">2.2 There is no clear relationship between support for redistribution and willingness to pay more taxes</w:t>
      </w:r>
    </w:p>
    <w:p>
      <w:pPr>
        <w:pStyle w:val="FirstParagraph"/>
      </w:pPr>
      <w:r>
        <w:t xml:space="preserve">In August 2025, the Eurobarometer conducted a survey on citizen’s attitudes towards taxation. Participants were asked which among the following statements they agreed the most:</w:t>
      </w:r>
    </w:p>
    <w:p>
      <w:pPr>
        <w:pStyle w:val="Compact"/>
        <w:numPr>
          <w:ilvl w:val="0"/>
          <w:numId w:val="1003"/>
        </w:numPr>
      </w:pPr>
      <w:r>
        <w:rPr>
          <w:i/>
          <w:iCs/>
        </w:rPr>
        <w:t xml:space="preserve">Taxes are too high, and I would decrease them even if it means fewer or lower quality public services</w:t>
      </w:r>
      <w:r>
        <w:br/>
      </w:r>
    </w:p>
    <w:p>
      <w:pPr>
        <w:pStyle w:val="Compact"/>
        <w:numPr>
          <w:ilvl w:val="0"/>
          <w:numId w:val="1003"/>
        </w:numPr>
      </w:pPr>
      <w:r>
        <w:rPr>
          <w:i/>
          <w:iCs/>
        </w:rPr>
        <w:t xml:space="preserve">I agree with higher taxes if it means more or better public services</w:t>
      </w:r>
      <w:r>
        <w:br/>
      </w:r>
    </w:p>
    <w:p>
      <w:pPr>
        <w:pStyle w:val="Compact"/>
        <w:numPr>
          <w:ilvl w:val="0"/>
          <w:numId w:val="1003"/>
        </w:numPr>
      </w:pPr>
      <w:r>
        <w:rPr>
          <w:i/>
          <w:iCs/>
        </w:rPr>
        <w:t xml:space="preserve">Both taxes and public services should stay at the same level</w:t>
      </w:r>
    </w:p>
    <w:p>
      <w:pPr>
        <w:pStyle w:val="FirstParagraph"/>
      </w:pPr>
      <w:r>
        <w:t xml:space="preserve">In Ireland, 34% of respondents indicated that they would agree with higher taxes if it means more or better public services. This is the 6th highest percentage across the 27 participant countries. This proportion varies from 16% in Luxembourg and Belgium to 42% in Sweden and Spain. Comparing countries at the national level in</w:t>
      </w:r>
      <w:r>
        <w:t xml:space="preserve"> </w:t>
      </w:r>
      <w:hyperlink w:anchor="fig-tax">
        <w:r>
          <w:rPr>
            <w:rStyle w:val="Hyperlink"/>
          </w:rPr>
          <w:t xml:space="preserve">Figure 2</w:t>
        </w:r>
      </w:hyperlink>
      <w:r>
        <w:t xml:space="preserve">, there is no clear relationship between this proportion and the overall support for redistribution measured by the ESS in 2023.</w:t>
      </w:r>
    </w:p>
    <w:tbl>
      <w:tblPr>
        <w:tblStyle w:val="Table"/>
        <w:tblW w:type="pct" w:w="5000"/>
        <w:tblLayout w:type="fixed"/>
        <w:tblLook w:firstRow="0" w:lastRow="0" w:firstColumn="0" w:lastColumn="0" w:noHBand="0" w:noVBand="0" w:val="0000"/>
      </w:tblPr>
      <w:tblGrid>
        <w:gridCol w:w="7920"/>
      </w:tblGrid>
      <w:tr>
        <w:tc>
          <w:tcPr/>
          <w:bookmarkStart w:id="35" w:name="fig-tax"/>
          <w:p>
            <w:pPr>
              <w:jc w:val="center"/>
            </w:pPr>
            <w:pPr>
              <w:jc w:val="left"/>
              <w:spacing w:before="200"/>
              <w:pStyle w:val="ImageCaption"/>
            </w:pPr>
            <w:r>
              <w:t xml:space="preserve">Figure 2: Relationship between support for redistribution and agreeement that there could be</w:t>
            </w:r>
            <w:r>
              <w:t xml:space="preserve"> </w:t>
            </w:r>
            <w:r>
              <w:t xml:space="preserve">‘higher taxes if it means more or better public services’</w:t>
            </w:r>
            <w:r>
              <w:t xml:space="preserve">, Europe, 2023/2025</w:t>
            </w:r>
          </w:p>
          <w:p>
            <w:pPr>
              <w:pStyle w:val="Compact"/>
              <w:jc w:val="center"/>
            </w:pPr>
            <w:r>
              <w:drawing>
                <wp:inline>
                  <wp:extent cx="4160520" cy="3467100"/>
                  <wp:effectExtent b="0" l="0" r="0" t="0"/>
                  <wp:docPr descr="" title="" id="33" name="Picture"/>
                  <a:graphic>
                    <a:graphicData uri="http://schemas.openxmlformats.org/drawingml/2006/picture">
                      <pic:pic>
                        <pic:nvPicPr>
                          <pic:cNvPr descr="img/fig_taxes.png" id="34" name="Picture"/>
                          <pic:cNvPicPr>
                            <a:picLocks noChangeArrowheads="1" noChangeAspect="1"/>
                          </pic:cNvPicPr>
                        </pic:nvPicPr>
                        <pic:blipFill>
                          <a:blip r:embed="rId32"/>
                          <a:stretch>
                            <a:fillRect/>
                          </a:stretch>
                        </pic:blipFill>
                        <pic:spPr bwMode="auto">
                          <a:xfrm>
                            <a:off x="0" y="0"/>
                            <a:ext cx="4160520" cy="3467100"/>
                          </a:xfrm>
                          <a:prstGeom prst="rect">
                            <a:avLst/>
                          </a:prstGeom>
                          <a:noFill/>
                          <a:ln w="9525">
                            <a:noFill/>
                            <a:headEnd/>
                            <a:tailEnd/>
                          </a:ln>
                        </pic:spPr>
                      </pic:pic>
                    </a:graphicData>
                  </a:graphic>
                </wp:inline>
              </w:drawing>
            </w:r>
          </w:p>
          <w:bookmarkEnd w:id="35"/>
        </w:tc>
      </w:tr>
    </w:tbl>
    <w:p>
      <w:pPr>
        <w:pStyle w:val="BodyText"/>
      </w:pPr>
      <w:r>
        <w:t xml:space="preserve">Comparing ESS data on support for specific welfare policies (discussed in</w:t>
      </w:r>
      <w:r>
        <w:t xml:space="preserve"> </w:t>
      </w:r>
      <w:hyperlink w:anchor="sec-what">
        <w:r>
          <w:rPr>
            <w:rStyle w:val="Hyperlink"/>
          </w:rPr>
          <w:t xml:space="preserve">Chapter 3</w:t>
        </w:r>
      </w:hyperlink>
      <w:r>
        <w:t xml:space="preserve">) and government policies,</w:t>
      </w:r>
      <w:r>
        <w:t xml:space="preserve"> </w:t>
      </w:r>
      <w:r>
        <w:t xml:space="preserve">Rosset, Poltier, and Pontusson (</w:t>
      </w:r>
      <w:hyperlink w:anchor="ref-rosset_unevenly_2025">
        <w:r>
          <w:rPr>
            <w:rStyle w:val="Hyperlink"/>
          </w:rPr>
          <w:t xml:space="preserve">2025</w:t>
        </w:r>
      </w:hyperlink>
      <w:r>
        <w:t xml:space="preserve">)</w:t>
      </w:r>
      <w:r>
        <w:t xml:space="preserve"> </w:t>
      </w:r>
      <w:r>
        <w:t xml:space="preserve">found mixed evidence for policy responsiveness. Although tax policies in several countries have moved in the same direction of the increasingly progressive attitudes to welfare, unemployment policy has not had the same trajectory.</w:t>
      </w:r>
    </w:p>
    <w:bookmarkEnd w:id="36"/>
    <w:bookmarkStart w:id="49" w:name="X1f88204b286a9677401192f98aa850b4f9e4cfe"/>
    <w:p>
      <w:pPr>
        <w:pStyle w:val="Heading2"/>
      </w:pPr>
      <w:r>
        <w:t xml:space="preserve">2.3 Female and lower SES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w:t>
      </w:r>
      <w:hyperlink w:anchor="ref-garritzmann_gender_2021">
        <w:r>
          <w:rPr>
            <w:rStyle w:val="Hyperlink"/>
          </w:rPr>
          <w:t xml:space="preserve">Garritzmann and Schwander 2021</w:t>
        </w:r>
      </w:hyperlink>
      <w:r>
        <w:t xml:space="preserve">)</w:t>
      </w:r>
      <w:r>
        <w:t xml:space="preserve">. Considering the marked gender differences in access to the labour market and levels of pay in Ireland</w:t>
      </w:r>
      <w:r>
        <w:t xml:space="preserve"> </w:t>
      </w:r>
      <w:r>
        <w:t xml:space="preserve">(</w:t>
      </w:r>
      <w:hyperlink w:anchor="ref-hingre_gender_2024">
        <w:r>
          <w:rPr>
            <w:rStyle w:val="Hyperlink"/>
          </w:rPr>
          <w:t xml:space="preserve">Hingre et al. 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3</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40" w:name="fig-sex"/>
          <w:p>
            <w:pPr>
              <w:jc w:val="center"/>
            </w:pPr>
            <w:pPr>
              <w:jc w:val="left"/>
              <w:spacing w:before="200"/>
              <w:pStyle w:val="ImageCaption"/>
            </w:pPr>
            <w:r>
              <w:t xml:space="preserve">Figure 3: Support for redistribution in Ireland by sex, 2002-2023</w:t>
            </w:r>
          </w:p>
          <w:p>
            <w:pPr>
              <w:pStyle w:val="Compact"/>
              <w:jc w:val="center"/>
            </w:pPr>
            <w:r>
              <w:drawing>
                <wp:inline>
                  <wp:extent cx="4160520" cy="2773680"/>
                  <wp:effectExtent b="0" l="0" r="0" t="0"/>
                  <wp:docPr descr="" title="" id="38" name="Picture"/>
                  <a:graphic>
                    <a:graphicData uri="http://schemas.openxmlformats.org/drawingml/2006/picture">
                      <pic:pic>
                        <pic:nvPicPr>
                          <pic:cNvPr descr="img/fig_sex.png" id="39" name="Picture"/>
                          <pic:cNvPicPr>
                            <a:picLocks noChangeArrowheads="1" noChangeAspect="1"/>
                          </pic:cNvPicPr>
                        </pic:nvPicPr>
                        <pic:blipFill>
                          <a:blip r:embed="rId37"/>
                          <a:stretch>
                            <a:fillRect/>
                          </a:stretch>
                        </pic:blipFill>
                        <pic:spPr bwMode="auto">
                          <a:xfrm>
                            <a:off x="0" y="0"/>
                            <a:ext cx="4160520" cy="2773680"/>
                          </a:xfrm>
                          <a:prstGeom prst="rect">
                            <a:avLst/>
                          </a:prstGeom>
                          <a:noFill/>
                          <a:ln w="9525">
                            <a:noFill/>
                            <a:headEnd/>
                            <a:tailEnd/>
                          </a:ln>
                        </pic:spPr>
                      </pic:pic>
                    </a:graphicData>
                  </a:graphic>
                </wp:inline>
              </w:drawing>
            </w:r>
          </w:p>
          <w:bookmarkEnd w:id="40"/>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4</w:t>
        </w:r>
      </w:hyperlink>
      <w:r>
        <w:t xml:space="preserve">, the opposite pattern is observed in Finland and Iceland. Although the UK also has a similar negative relationship between age and support, the agreement among young respondents (18-35) is higher in Ireland.</w:t>
      </w:r>
    </w:p>
    <w:tbl>
      <w:tblPr>
        <w:tblStyle w:val="Table"/>
        <w:tblW w:type="pct" w:w="5000"/>
        <w:tblLayout w:type="fixed"/>
        <w:tblLook w:firstRow="0" w:lastRow="0" w:firstColumn="0" w:lastColumn="0" w:noHBand="0" w:noVBand="0" w:val="0000"/>
      </w:tblPr>
      <w:tblGrid>
        <w:gridCol w:w="7920"/>
      </w:tblGrid>
      <w:tr>
        <w:tc>
          <w:tcPr/>
          <w:bookmarkStart w:id="44" w:name="fig-age-eu"/>
          <w:p>
            <w:pPr>
              <w:jc w:val="center"/>
            </w:pPr>
            <w:pPr>
              <w:jc w:val="left"/>
              <w:spacing w:before="200"/>
              <w:pStyle w:val="ImageCaption"/>
            </w:pPr>
            <w:r>
              <w:t xml:space="preserve">Figure 4: Scatter plot of support for redistribution by age and country, 2023</w:t>
            </w:r>
          </w:p>
          <w:p>
            <w:pPr>
              <w:pStyle w:val="Compact"/>
              <w:jc w:val="center"/>
            </w:pPr>
            <w:r>
              <w:drawing>
                <wp:inline>
                  <wp:extent cx="4160520" cy="2773680"/>
                  <wp:effectExtent b="0" l="0" r="0" t="0"/>
                  <wp:docPr descr="" title="" id="42" name="Picture"/>
                  <a:graphic>
                    <a:graphicData uri="http://schemas.openxmlformats.org/drawingml/2006/picture">
                      <pic:pic>
                        <pic:nvPicPr>
                          <pic:cNvPr descr="img/fig_age_eu.png" id="43" name="Picture"/>
                          <pic:cNvPicPr>
                            <a:picLocks noChangeArrowheads="1" noChangeAspect="1"/>
                          </pic:cNvPicPr>
                        </pic:nvPicPr>
                        <pic:blipFill>
                          <a:blip r:embed="rId41"/>
                          <a:stretch>
                            <a:fillRect/>
                          </a:stretch>
                        </pic:blipFill>
                        <pic:spPr bwMode="auto">
                          <a:xfrm>
                            <a:off x="0" y="0"/>
                            <a:ext cx="4160520" cy="2773680"/>
                          </a:xfrm>
                          <a:prstGeom prst="rect">
                            <a:avLst/>
                          </a:prstGeom>
                          <a:noFill/>
                          <a:ln w="9525">
                            <a:noFill/>
                            <a:headEnd/>
                            <a:tailEnd/>
                          </a:ln>
                        </pic:spPr>
                      </pic:pic>
                    </a:graphicData>
                  </a:graphic>
                </wp:inline>
              </w:drawing>
            </w:r>
          </w:p>
          <w:bookmarkEnd w:id="44"/>
        </w:tc>
      </w:tr>
    </w:tbl>
    <w:p>
      <w:pPr>
        <w:pStyle w:val="BodyText"/>
      </w:pPr>
      <w:r>
        <w:t xml:space="preserve">Using a longer time period, however, we observe different relationships depending on the time of the data collection. These different associations over time might suggest a context-dependent association or different level of support across generations instead of age groups. This topic is further explored in</w:t>
      </w:r>
      <w:r>
        <w:t xml:space="preserve"> </w:t>
      </w:r>
      <w:hyperlink w:anchor="sec-change">
        <w:r>
          <w:rPr>
            <w:rStyle w:val="Hyperlink"/>
          </w:rPr>
          <w:t xml:space="preserve">Chapter 4</w:t>
        </w:r>
      </w:hyperlink>
      <w:r>
        <w:t xml:space="preserve">.</w:t>
      </w:r>
    </w:p>
    <w:p>
      <w:pPr>
        <w:pStyle w:val="BodyText"/>
      </w:pPr>
      <w:r>
        <w:t xml:space="preserve">Finally, there is robust evidence for the association between socio-economic status (SES)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kulin_class_2013">
        <w:r>
          <w:rPr>
            <w:rStyle w:val="Hyperlink"/>
          </w:rPr>
          <w:t xml:space="preserve">Kulin and Svallfors 2013</w:t>
        </w:r>
      </w:hyperlink>
      <w:r>
        <w:t xml:space="preserve">;</w:t>
      </w:r>
      <w:r>
        <w:t xml:space="preserve"> </w:t>
      </w:r>
      <w:hyperlink w:anchor="ref-langsaether_more_2020">
        <w:r>
          <w:rPr>
            <w:rStyle w:val="Hyperlink"/>
          </w:rPr>
          <w:t xml:space="preserve">Langsæther and Evans 2020</w:t>
        </w:r>
      </w:hyperlink>
      <w:r>
        <w:t xml:space="preserve">)</w:t>
      </w:r>
      <w:r>
        <w:t xml:space="preserve">. The analysis using social class, household income, and</w:t>
      </w:r>
      <w:r>
        <w:t xml:space="preserve"> </w:t>
      </w:r>
      <w:r>
        <w:t xml:space="preserve">‘feeling about financial situation of the household’</w:t>
      </w:r>
      <w:r>
        <w:t xml:space="preserve"> </w:t>
      </w:r>
      <w:r>
        <w:t xml:space="preserve">suggests a negative relationship between SES and support for redistribution. The mean values shown in</w:t>
      </w:r>
      <w:r>
        <w:t xml:space="preserve"> </w:t>
      </w:r>
      <w:hyperlink w:anchor="fig-ses">
        <w:r>
          <w:rPr>
            <w:rStyle w:val="Hyperlink"/>
          </w:rPr>
          <w:t xml:space="preserve">Figure 5</w:t>
        </w:r>
      </w:hyperlink>
      <w:r>
        <w:t xml:space="preserve"> </w:t>
      </w:r>
      <w:r>
        <w:t xml:space="preserve">indicate that both</w:t>
      </w:r>
      <w:r>
        <w:t xml:space="preserve"> </w:t>
      </w:r>
      <w:r>
        <w:t xml:space="preserve">‘skilled’</w:t>
      </w:r>
      <w:r>
        <w:t xml:space="preserve"> </w:t>
      </w:r>
      <w:r>
        <w:t xml:space="preserve">and</w:t>
      </w:r>
      <w:r>
        <w:t xml:space="preserve"> </w:t>
      </w:r>
      <w:r>
        <w:t xml:space="preserve">‘unskilled’</w:t>
      </w:r>
      <w:r>
        <w:t xml:space="preserve"> </w:t>
      </w:r>
      <w:r>
        <w:t xml:space="preserve">workers 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which includes managers and professionals, show lower levels of agreement. A higher support is also found among those in lower income quintiles and whose financial situation is</w:t>
      </w:r>
      <w:r>
        <w:t xml:space="preserve"> </w:t>
      </w:r>
      <w:r>
        <w:t xml:space="preserve">‘very difficult’</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ses"/>
          <w:p>
            <w:pPr>
              <w:jc w:val="center"/>
            </w:pPr>
            <w:pPr>
              <w:jc w:val="left"/>
              <w:spacing w:before="200"/>
              <w:pStyle w:val="ImageCaption"/>
            </w:pPr>
            <w:r>
              <w:t xml:space="preserve">Figure 5: Mean value of support for redistribution by social class, income quintile, and financial situation, Ireland, 2002-2023</w:t>
            </w:r>
          </w:p>
          <w:p>
            <w:pPr>
              <w:pStyle w:val="Compact"/>
              <w:jc w:val="center"/>
            </w:pPr>
            <w:r>
              <w:drawing>
                <wp:inline>
                  <wp:extent cx="4160520" cy="4160520"/>
                  <wp:effectExtent b="0" l="0" r="0" t="0"/>
                  <wp:docPr descr="" title="" id="46" name="Picture"/>
                  <a:graphic>
                    <a:graphicData uri="http://schemas.openxmlformats.org/drawingml/2006/picture">
                      <pic:pic>
                        <pic:nvPicPr>
                          <pic:cNvPr descr="img/fig_class.png" id="47" name="Picture"/>
                          <pic:cNvPicPr>
                            <a:picLocks noChangeArrowheads="1" noChangeAspect="1"/>
                          </pic:cNvPicPr>
                        </pic:nvPicPr>
                        <pic:blipFill>
                          <a:blip r:embed="rId45"/>
                          <a:stretch>
                            <a:fillRect/>
                          </a:stretch>
                        </pic:blipFill>
                        <pic:spPr bwMode="auto">
                          <a:xfrm>
                            <a:off x="0" y="0"/>
                            <a:ext cx="4160520" cy="4160520"/>
                          </a:xfrm>
                          <a:prstGeom prst="rect">
                            <a:avLst/>
                          </a:prstGeom>
                          <a:noFill/>
                          <a:ln w="9525">
                            <a:noFill/>
                            <a:headEnd/>
                            <a:tailEnd/>
                          </a:ln>
                        </pic:spPr>
                      </pic:pic>
                    </a:graphicData>
                  </a:graphic>
                </wp:inline>
              </w:drawing>
            </w:r>
          </w:p>
          <w:bookmarkEnd w:id="48"/>
        </w:tc>
      </w:tr>
    </w:tbl>
    <w:bookmarkEnd w:id="49"/>
    <w:bookmarkStart w:id="50" w:name="X33c9afebe6aaae6fc22bed255c56d37bc85f7a4"/>
    <w:p>
      <w:pPr>
        <w:pStyle w:val="Heading2"/>
      </w:pPr>
      <w:r>
        <w:t xml:space="preserve">2.4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 even though this correlation is weaker in Ireland compared to other European countries.</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interpreted with caution due to the small sample size of respondents who voted in the last European elections. However,</w:t>
      </w:r>
      <w:r>
        <w:t xml:space="preserve"> </w:t>
      </w:r>
      <w:r>
        <w:t xml:space="preserve">Attewell (</w:t>
      </w:r>
      <w:hyperlink w:anchor="ref-attewell_deservingness_2021">
        <w:r>
          <w:rPr>
            <w:rStyle w:val="Hyperlink"/>
          </w:rPr>
          <w:t xml:space="preserve">2021</w:t>
        </w:r>
      </w:hyperlink>
      <w:r>
        <w:t xml:space="preserve">)</w:t>
      </w:r>
      <w:r>
        <w:t xml:space="preserve"> </w:t>
      </w:r>
      <w:r>
        <w:t xml:space="preserve">indicate that this pattern is consistent across most Western European countries, and welfare attitudes are relevant predictors of voting even for parties with focus on non-economic issues such as</w:t>
      </w:r>
      <w:r>
        <w:t xml:space="preserve"> </w:t>
      </w:r>
      <w:r>
        <w:t xml:space="preserve">‘immigration’</w:t>
      </w:r>
      <w:r>
        <w:t xml:space="preserve"> </w:t>
      </w:r>
      <w:r>
        <w:t xml:space="preserve">and EU integration.</w:t>
      </w:r>
    </w:p>
    <w:bookmarkEnd w:id="50"/>
    <w:bookmarkStart w:id="55" w:name="Xec7dce69ab8bbc354d30c9faeadf5914599bb9a"/>
    <w:p>
      <w:pPr>
        <w:pStyle w:val="Heading2"/>
      </w:pPr>
      <w:r>
        <w:t xml:space="preserve">2.5 Age, gender and social class are relevant even controlling for economic activity, education and financial situation</w:t>
      </w:r>
    </w:p>
    <w:p>
      <w:pPr>
        <w:pStyle w:val="FirstParagraph"/>
      </w:pPr>
      <w:r>
        <w:t xml:space="preserve">We created a fixed-effects multivariate regression model to assess the extent to which these individual factors are associated with support for redistribution, considering all ESS rounds in Ireland. In addition to these main variables, the model also includes a measurement of the household financial situation. A subjective measurement was chosen (</w:t>
      </w:r>
      <w:r>
        <w:t xml:space="preserve">‘Satisfaction with the household income’</w:t>
      </w:r>
      <w:r>
        <w:t xml:space="preserve">) instead of household income due to the high proportion of missing values in the former. However, the same model using household income instead of this subjective measurement indicates similar results for the main variables (see Annex 1). Finally, the following control variables were also added to the model: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estimates of the logistic regression model detecting significant differences across groups. Older age groups are all expected to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of the government reducing income differences.</w:t>
      </w:r>
    </w:p>
    <w:p>
      <w:pPr>
        <w:pStyle w:val="BodyText"/>
      </w:pPr>
      <w:r>
        <w:t xml:space="preserve">Those who were not born in Ireland are significantly less likely to support redistribution compared to natives. This is a pattern found in other European countries by</w:t>
      </w:r>
      <w:r>
        <w:t xml:space="preserve"> </w:t>
      </w:r>
      <w:r>
        <w:t xml:space="preserve">Gonnot and Polito (</w:t>
      </w:r>
      <w:hyperlink w:anchor="ref-gonnot_cultural_2023">
        <w:r>
          <w:rPr>
            <w:rStyle w:val="Hyperlink"/>
          </w:rPr>
          <w:t xml:space="preserve">2023</w:t>
        </w:r>
      </w:hyperlink>
      <w:r>
        <w:t xml:space="preserve">)</w:t>
      </w:r>
      <w:r>
        <w:t xml:space="preserve">, who suggests that this could be explained by experiences with discrimination and lower access to social benefits.</w:t>
      </w:r>
      <w:r>
        <w:t xml:space="preserve"> </w:t>
      </w:r>
      <w:r>
        <w:t xml:space="preserve">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4" w:name="tbl-multiv-gincdif"/>
          <w:p>
            <w:pPr>
              <w:jc w:val="center"/>
            </w:pPr>
            <w:pPr>
              <w:jc w:val="left"/>
              <w:spacing w:before="200"/>
              <w:pStyle w:val="ImageCaption"/>
            </w:pPr>
            <w:r>
              <w:t xml:space="preserve">Table 1: Logistic regression estimates (odds-ratio) for</w:t>
            </w:r>
            <w:r>
              <w:t xml:space="preserve"> </w:t>
            </w:r>
            <w:r>
              <w:t xml:space="preserve">‘support for redistribution’</w:t>
            </w:r>
            <w:r>
              <w:t xml:space="preserve">, Ireland, 2002-2023</w:t>
            </w:r>
          </w:p>
          <w:p>
            <w:pPr>
              <w:jc w:val="center"/>
            </w:pPr>
            <w:r>
              <w:drawing>
                <wp:inline>
                  <wp:extent cx="4160520" cy="4363643"/>
                  <wp:effectExtent b="0" l="0" r="0" t="0"/>
                  <wp:docPr descr="" title="" id="52" name="Picture"/>
                  <a:graphic>
                    <a:graphicData uri="http://schemas.openxmlformats.org/drawingml/2006/picture">
                      <pic:pic>
                        <pic:nvPicPr>
                          <pic:cNvPr descr="img/tbl_multiv_gincdif.png" id="53" name="Picture"/>
                          <pic:cNvPicPr>
                            <a:picLocks noChangeArrowheads="1" noChangeAspect="1"/>
                          </pic:cNvPicPr>
                        </pic:nvPicPr>
                        <pic:blipFill>
                          <a:blip r:embed="rId51"/>
                          <a:stretch>
                            <a:fillRect/>
                          </a:stretch>
                        </pic:blipFill>
                        <pic:spPr bwMode="auto">
                          <a:xfrm>
                            <a:off x="0" y="0"/>
                            <a:ext cx="4160520" cy="4363643"/>
                          </a:xfrm>
                          <a:prstGeom prst="rect">
                            <a:avLst/>
                          </a:prstGeom>
                          <a:noFill/>
                          <a:ln w="9525">
                            <a:noFill/>
                            <a:headEnd/>
                            <a:tailEnd/>
                          </a:ln>
                        </pic:spPr>
                      </pic:pic>
                    </a:graphicData>
                  </a:graphic>
                </wp:inline>
              </w:drawing>
            </w:r>
          </w:p>
          <w:bookmarkEnd w:id="54"/>
        </w:tc>
      </w:tr>
    </w:tbl>
    <w:p>
      <w:pPr>
        <w:pStyle w:val="BodyText"/>
      </w:pPr>
      <w:r>
        <w:t xml:space="preserve">Overall, the examination of individual factors associated with support for income redistribution in Ireland goes in the same direction of the literature pointing out the role of material interests (financial situation) and perspectives of upward mobility (social class)</w:t>
      </w:r>
      <w:r>
        <w:t xml:space="preserve"> </w:t>
      </w:r>
      <w:r>
        <w:t xml:space="preserve">Bonnet et al. (</w:t>
      </w:r>
      <w:hyperlink w:anchor="ref-bonnet_what_2024">
        <w:r>
          <w:rPr>
            <w:rStyle w:val="Hyperlink"/>
          </w:rPr>
          <w:t xml:space="preserve">2024</w:t>
        </w:r>
      </w:hyperlink>
      <w:r>
        <w:t xml:space="preserve">)</w:t>
      </w:r>
      <w:r>
        <w:t xml:space="preserve">.</w:t>
      </w:r>
    </w:p>
    <w:bookmarkEnd w:id="55"/>
    <w:bookmarkEnd w:id="56"/>
    <w:bookmarkStart w:id="90"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rounds of data collection contain additional questions on beliefs about welfare, social benefits and their beneficiaries.</w:t>
      </w:r>
    </w:p>
    <w:bookmarkStart w:id="57"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meritocracy are also relevant to understand overall support to welfare policies</w:t>
      </w:r>
      <w:r>
        <w:t xml:space="preserve"> </w:t>
      </w:r>
      <w:r>
        <w:t xml:space="preserve">(</w:t>
      </w:r>
      <w:hyperlink w:anchor="ref-cavaille_fair_2025">
        <w:r>
          <w:rPr>
            <w:rStyle w:val="Hyperlink"/>
          </w:rPr>
          <w:t xml:space="preserve">Cavaillé 2025</w:t>
        </w:r>
      </w:hyperlink>
      <w:r>
        <w:t xml:space="preserve">)</w:t>
      </w:r>
      <w:r>
        <w:t xml:space="preserve">.</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7"/>
    <w:bookmarkStart w:id="62" w:name="Xd328aa382c21e628fa77d9eaf8cfa17f26a2608"/>
    <w:p>
      <w:pPr>
        <w:pStyle w:val="Heading2"/>
      </w:pPr>
      <w:r>
        <w:t xml:space="preserve">3.2 The government should have more responsibility towards old citizens and working parents compared to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6</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1" w:name="fig-deservingness"/>
          <w:p>
            <w:pPr>
              <w:jc w:val="center"/>
            </w:pPr>
            <w:pPr>
              <w:jc w:val="left"/>
              <w:spacing w:before="200"/>
              <w:pStyle w:val="ImageCaption"/>
            </w:pPr>
            <w:r>
              <w:t xml:space="preserve">Figure 6: Mean values for deservingness of government support by group and country, 2016</w:t>
            </w:r>
          </w:p>
          <w:p>
            <w:pPr>
              <w:pStyle w:val="Compact"/>
              <w:jc w:val="center"/>
            </w:pPr>
            <w:r>
              <w:drawing>
                <wp:inline>
                  <wp:extent cx="4160520" cy="2912363"/>
                  <wp:effectExtent b="0" l="0" r="0" t="0"/>
                  <wp:docPr descr="" title="" id="59" name="Picture"/>
                  <a:graphic>
                    <a:graphicData uri="http://schemas.openxmlformats.org/drawingml/2006/picture">
                      <pic:pic>
                        <pic:nvPicPr>
                          <pic:cNvPr descr="img/fig_deservingness.png" id="60" name="Picture"/>
                          <pic:cNvPicPr>
                            <a:picLocks noChangeArrowheads="1" noChangeAspect="1"/>
                          </pic:cNvPicPr>
                        </pic:nvPicPr>
                        <pic:blipFill>
                          <a:blip r:embed="rId58"/>
                          <a:stretch>
                            <a:fillRect/>
                          </a:stretch>
                        </pic:blipFill>
                        <pic:spPr bwMode="auto">
                          <a:xfrm>
                            <a:off x="0" y="0"/>
                            <a:ext cx="4160520" cy="2912363"/>
                          </a:xfrm>
                          <a:prstGeom prst="rect">
                            <a:avLst/>
                          </a:prstGeom>
                          <a:noFill/>
                          <a:ln w="9525">
                            <a:noFill/>
                            <a:headEnd/>
                            <a:tailEnd/>
                          </a:ln>
                        </pic:spPr>
                      </pic:pic>
                    </a:graphicData>
                  </a:graphic>
                </wp:inline>
              </w:drawing>
            </w:r>
          </w:p>
          <w:bookmarkEnd w:id="61"/>
        </w:tc>
      </w:tr>
    </w:tbl>
    <w:p>
      <w:pPr>
        <w:pStyle w:val="BodyText"/>
      </w:pPr>
      <w:r>
        <w:t xml:space="preserve">In Ireland, a greater prioritisation of the older over the unemployed is found mainly among respondents who are female, in paid work, and with lower level of educational attainment.</w:t>
      </w:r>
    </w:p>
    <w:bookmarkEnd w:id="62"/>
    <w:bookmarkStart w:id="73"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p/>
        </w:tc>
      </w:tr>
    </w:tbl>
    <w:p>
      <w:pPr>
        <w:pStyle w:val="BodyText"/>
      </w:pPr>
      <w:r>
        <w:t xml:space="preserve">The average level of agreement with these statements reduced slightly comparing 2008 and 2016, but the ranking of agreement among the remains the same, as shown in</w:t>
      </w:r>
      <w:r>
        <w:t xml:space="preserve"> </w:t>
      </w:r>
      <w:hyperlink w:anchor="fig-benefits">
        <w:r>
          <w:rPr>
            <w:rStyle w:val="Hyperlink"/>
          </w:rPr>
          <w:t xml:space="preserve">Figure 7</w:t>
        </w:r>
      </w:hyperlink>
      <w:r>
        <w:t xml:space="preserve">. The exception is the average agreement with</w:t>
      </w:r>
      <w:r>
        <w:t xml:space="preserve"> </w:t>
      </w:r>
      <w:r>
        <w:t xml:space="preserve">“social benefits lead to a more equal society”</w:t>
      </w:r>
      <w:r>
        <w:t xml:space="preserve">, which observed a minor increase and surpassed the average agreement with</w:t>
      </w:r>
      <w:r>
        <w:t xml:space="preserve"> </w:t>
      </w:r>
      <w:r>
        <w:t xml:space="preserve">“put strain in the economy”</w:t>
      </w:r>
      <w:r>
        <w:t xml:space="preserve"> </w:t>
      </w:r>
      <w:r>
        <w:t xml:space="preserve">and</w:t>
      </w:r>
      <w:r>
        <w:t xml:space="preserve"> </w:t>
      </w:r>
      <w:r>
        <w:t xml:space="preserve">“cost business too much in taxes”</w:t>
      </w:r>
      <w:r>
        <w:t xml:space="preserve">.</w:t>
      </w:r>
    </w:p>
    <w:tbl>
      <w:tblPr>
        <w:tblStyle w:val="Table"/>
        <w:tblW w:type="pct" w:w="5000"/>
        <w:tblLayout w:type="fixed"/>
        <w:tblLook w:firstRow="0" w:lastRow="0" w:firstColumn="0" w:lastColumn="0" w:noHBand="0" w:noVBand="0" w:val="0000"/>
      </w:tblPr>
      <w:tblGrid>
        <w:gridCol w:w="7920"/>
      </w:tblGrid>
      <w:tr>
        <w:tc>
          <w:tcPr/>
          <w:bookmarkStart w:id="68" w:name="fig-benefits"/>
          <w:p>
            <w:pPr>
              <w:jc w:val="center"/>
            </w:pPr>
            <w:pPr>
              <w:jc w:val="left"/>
              <w:spacing w:before="200"/>
              <w:pStyle w:val="ImageCaption"/>
            </w:pPr>
            <w:r>
              <w:t xml:space="preserve">Figure 7: Proportion of respondents who agree with statements about social benefits, Ireland, 2009/2016</w:t>
            </w:r>
          </w:p>
          <w:p>
            <w:pPr>
              <w:pStyle w:val="Compact"/>
              <w:jc w:val="center"/>
            </w:pPr>
            <w:r>
              <w:drawing>
                <wp:inline>
                  <wp:extent cx="4160520" cy="2080260"/>
                  <wp:effectExtent b="0" l="0" r="0" t="0"/>
                  <wp:docPr descr="" title="" id="66" name="Picture"/>
                  <a:graphic>
                    <a:graphicData uri="http://schemas.openxmlformats.org/drawingml/2006/picture">
                      <pic:pic>
                        <pic:nvPicPr>
                          <pic:cNvPr descr="img/fig_benefits.png" id="67" name="Picture"/>
                          <pic:cNvPicPr>
                            <a:picLocks noChangeArrowheads="1" noChangeAspect="1"/>
                          </pic:cNvPicPr>
                        </pic:nvPicPr>
                        <pic:blipFill>
                          <a:blip r:embed="rId65"/>
                          <a:stretch>
                            <a:fillRect/>
                          </a:stretch>
                        </pic:blipFill>
                        <pic:spPr bwMode="auto">
                          <a:xfrm>
                            <a:off x="0" y="0"/>
                            <a:ext cx="4160520" cy="2080260"/>
                          </a:xfrm>
                          <a:prstGeom prst="rect">
                            <a:avLst/>
                          </a:prstGeom>
                          <a:noFill/>
                          <a:ln w="9525">
                            <a:noFill/>
                            <a:headEnd/>
                            <a:tailEnd/>
                          </a:ln>
                        </pic:spPr>
                      </pic:pic>
                    </a:graphicData>
                  </a:graphic>
                </wp:inline>
              </w:drawing>
            </w:r>
          </w:p>
          <w:bookmarkEnd w:id="68"/>
        </w:tc>
      </w:tr>
    </w:tbl>
    <w:p>
      <w:pPr>
        <w:pStyle w:val="BodyText"/>
      </w:pPr>
      <w:r>
        <w:t xml:space="preserve">Despite the reduction from 2009 to 2016, as shown in</w:t>
      </w:r>
      <w:r>
        <w:t xml:space="preserve"> </w:t>
      </w:r>
      <w:hyperlink w:anchor="fig-lazy">
        <w:r>
          <w:rPr>
            <w:rStyle w:val="Hyperlink"/>
          </w:rPr>
          <w:t xml:space="preserve">Figure 8</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 Finally, as expected those who believe that</w:t>
      </w:r>
      <w:r>
        <w:t xml:space="preserve"> </w:t>
      </w:r>
      <w:r>
        <w:t xml:space="preserve">“social benefits make people lazy”</w:t>
      </w:r>
      <w:r>
        <w:t xml:space="preserve"> </w:t>
      </w:r>
      <w:r>
        <w:t xml:space="preserve">are also less likely to support income redistribution.</w:t>
      </w:r>
    </w:p>
    <w:tbl>
      <w:tblPr>
        <w:tblStyle w:val="Table"/>
        <w:tblW w:type="pct" w:w="5000"/>
        <w:tblLayout w:type="fixed"/>
        <w:tblLook w:firstRow="0" w:lastRow="0" w:firstColumn="0" w:lastColumn="0" w:noHBand="0" w:noVBand="0" w:val="0000"/>
      </w:tblPr>
      <w:tblGrid>
        <w:gridCol w:w="7920"/>
      </w:tblGrid>
      <w:tr>
        <w:tc>
          <w:tcPr/>
          <w:bookmarkStart w:id="72" w:name="fig-lazy"/>
          <w:p>
            <w:pPr>
              <w:jc w:val="center"/>
            </w:pPr>
            <w:pPr>
              <w:jc w:val="left"/>
              <w:spacing w:before="200"/>
              <w:pStyle w:val="ImageCaption"/>
            </w:pPr>
            <w:r>
              <w:t xml:space="preserve">Figure 8: Proportion of agreement that social benefits make people lazy, Europe, 2009/2016</w:t>
            </w:r>
          </w:p>
          <w:p>
            <w:pPr>
              <w:pStyle w:val="Compact"/>
              <w:jc w:val="center"/>
            </w:pPr>
            <w:r>
              <w:drawing>
                <wp:inline>
                  <wp:extent cx="4160520" cy="3328415"/>
                  <wp:effectExtent b="0" l="0" r="0" t="0"/>
                  <wp:docPr descr="" title="" id="70" name="Picture"/>
                  <a:graphic>
                    <a:graphicData uri="http://schemas.openxmlformats.org/drawingml/2006/picture">
                      <pic:pic>
                        <pic:nvPicPr>
                          <pic:cNvPr descr="img/fig_lazy.png" id="71" name="Picture"/>
                          <pic:cNvPicPr>
                            <a:picLocks noChangeArrowheads="1" noChangeAspect="1"/>
                          </pic:cNvPicPr>
                        </pic:nvPicPr>
                        <pic:blipFill>
                          <a:blip r:embed="rId69"/>
                          <a:stretch>
                            <a:fillRect/>
                          </a:stretch>
                        </pic:blipFill>
                        <pic:spPr bwMode="auto">
                          <a:xfrm>
                            <a:off x="0" y="0"/>
                            <a:ext cx="4160520" cy="3328415"/>
                          </a:xfrm>
                          <a:prstGeom prst="rect">
                            <a:avLst/>
                          </a:prstGeom>
                          <a:noFill/>
                          <a:ln w="9525">
                            <a:noFill/>
                            <a:headEnd/>
                            <a:tailEnd/>
                          </a:ln>
                        </pic:spPr>
                      </pic:pic>
                    </a:graphicData>
                  </a:graphic>
                </wp:inline>
              </w:drawing>
            </w:r>
          </w:p>
          <w:bookmarkEnd w:id="72"/>
        </w:tc>
      </w:tr>
    </w:tbl>
    <w:bookmarkEnd w:id="73"/>
    <w:bookmarkStart w:id="78" w:name="X67b00d8cdddb804d04cb254784b093a4fbe7817"/>
    <w:p>
      <w:pPr>
        <w:pStyle w:val="Heading2"/>
      </w:pPr>
      <w:r>
        <w:t xml:space="preserve">3.4 Compared to male respondents, female respondents are less likely to agree that social benefits lead to equality</w:t>
      </w:r>
    </w:p>
    <w:p>
      <w:pPr>
        <w:pStyle w:val="FirstParagraph"/>
      </w:pP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77" w:name="tbl-multiv-beliefs"/>
          <w:p>
            <w:pPr>
              <w:jc w:val="center"/>
            </w:pPr>
            <w:pPr>
              <w:jc w:val="lef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160520" cy="3865969"/>
                  <wp:effectExtent b="0" l="0" r="0" t="0"/>
                  <wp:docPr descr="" title="" id="75" name="Picture"/>
                  <a:graphic>
                    <a:graphicData uri="http://schemas.openxmlformats.org/drawingml/2006/picture">
                      <pic:pic>
                        <pic:nvPicPr>
                          <pic:cNvPr descr="img/tbl_multiv_beliefs.png" id="76" name="Picture"/>
                          <pic:cNvPicPr>
                            <a:picLocks noChangeArrowheads="1" noChangeAspect="1"/>
                          </pic:cNvPicPr>
                        </pic:nvPicPr>
                        <pic:blipFill>
                          <a:blip r:embed="rId74"/>
                          <a:stretch>
                            <a:fillRect/>
                          </a:stretch>
                        </pic:blipFill>
                        <pic:spPr bwMode="auto">
                          <a:xfrm>
                            <a:off x="0" y="0"/>
                            <a:ext cx="4160520" cy="3865969"/>
                          </a:xfrm>
                          <a:prstGeom prst="rect">
                            <a:avLst/>
                          </a:prstGeom>
                          <a:noFill/>
                          <a:ln w="9525">
                            <a:noFill/>
                            <a:headEnd/>
                            <a:tailEnd/>
                          </a:ln>
                        </pic:spPr>
                      </pic:pic>
                    </a:graphicData>
                  </a:graphic>
                </wp:inline>
              </w:drawing>
            </w:r>
          </w:p>
          <w:bookmarkEnd w:id="77"/>
        </w:tc>
      </w:tr>
    </w:tbl>
    <w:bookmarkEnd w:id="78"/>
    <w:bookmarkStart w:id="79" w:name="Xa595066d3e4198fdc61757e44206370bca52f45"/>
    <w:p>
      <w:pPr>
        <w:pStyle w:val="Heading2"/>
      </w:pPr>
      <w:r>
        <w:t xml:space="preserve">3.5 Older, right-wing, and those with lower educational attainment are more likely to agree that social benefits make people lazy</w:t>
      </w:r>
    </w:p>
    <w:p>
      <w:pPr>
        <w:pStyle w:val="FirstParagraph"/>
      </w:pPr>
      <w:r>
        <w:t xml:space="preserve">The second model on</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79"/>
    <w:bookmarkStart w:id="84"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p>
      <w:pPr>
        <w:pStyle w:val="BodyText"/>
      </w:pPr>
      <w:r>
        <w:t xml:space="preserve">As shown in</w:t>
      </w:r>
      <w:r>
        <w:t xml:space="preserve"> </w:t>
      </w:r>
      <w:hyperlink w:anchor="fig-immig">
        <w:r>
          <w:rPr>
            <w:rStyle w:val="Hyperlink"/>
          </w:rPr>
          <w:t xml:space="preserve">Figure 9</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tbl>
      <w:tblPr>
        <w:tblStyle w:val="Table"/>
        <w:tblW w:type="pct" w:w="5000"/>
        <w:tblLayout w:type="fixed"/>
        <w:tblLook w:firstRow="0" w:lastRow="0" w:firstColumn="0" w:lastColumn="0" w:noHBand="0" w:noVBand="0" w:val="0000"/>
      </w:tblPr>
      <w:tblGrid>
        <w:gridCol w:w="7920"/>
      </w:tblGrid>
      <w:tr>
        <w:tc>
          <w:tcPr/>
          <w:bookmarkStart w:id="83" w:name="fig-immig"/>
          <w:p>
            <w:pPr>
              <w:jc w:val="center"/>
            </w:pPr>
            <w:pPr>
              <w:jc w:val="left"/>
              <w:spacing w:before="200"/>
              <w:pStyle w:val="ImageCaption"/>
            </w:pPr>
            <w:r>
              <w:t xml:space="preserve">Figure 9: Distribution for</w:t>
            </w:r>
            <w:r>
              <w:t xml:space="preserve"> </w:t>
            </w:r>
            <w:r>
              <w:t xml:space="preserve">‘When should immigrants obtain rights to social benefits/services’</w:t>
            </w:r>
            <w:r>
              <w:t xml:space="preserve">, Ireland, 2016</w:t>
            </w:r>
          </w:p>
          <w:p>
            <w:pPr>
              <w:pStyle w:val="Compact"/>
              <w:jc w:val="center"/>
            </w:pPr>
            <w:r>
              <w:drawing>
                <wp:inline>
                  <wp:extent cx="4160520" cy="2080260"/>
                  <wp:effectExtent b="0" l="0" r="0" t="0"/>
                  <wp:docPr descr="" title="" id="81" name="Picture"/>
                  <a:graphic>
                    <a:graphicData uri="http://schemas.openxmlformats.org/drawingml/2006/picture">
                      <pic:pic>
                        <pic:nvPicPr>
                          <pic:cNvPr descr="img/fig_immig.png" id="82" name="Picture"/>
                          <pic:cNvPicPr>
                            <a:picLocks noChangeArrowheads="1" noChangeAspect="1"/>
                          </pic:cNvPicPr>
                        </pic:nvPicPr>
                        <pic:blipFill>
                          <a:blip r:embed="rId80"/>
                          <a:stretch>
                            <a:fillRect/>
                          </a:stretch>
                        </pic:blipFill>
                        <pic:spPr bwMode="auto">
                          <a:xfrm>
                            <a:off x="0" y="0"/>
                            <a:ext cx="4160520" cy="2080260"/>
                          </a:xfrm>
                          <a:prstGeom prst="rect">
                            <a:avLst/>
                          </a:prstGeom>
                          <a:noFill/>
                          <a:ln w="9525">
                            <a:noFill/>
                            <a:headEnd/>
                            <a:tailEnd/>
                          </a:ln>
                        </pic:spPr>
                      </pic:pic>
                    </a:graphicData>
                  </a:graphic>
                </wp:inline>
              </w:drawing>
            </w:r>
          </w:p>
          <w:bookmarkEnd w:id="83"/>
        </w:tc>
      </w:tr>
    </w:tbl>
    <w:bookmarkEnd w:id="84"/>
    <w:bookmarkStart w:id="89" w:name="X1d29ca44a5c43e6cb31b444b1b17af6927c5c35"/>
    <w:p>
      <w:pPr>
        <w:pStyle w:val="Heading2"/>
      </w:pPr>
      <w:r>
        <w:t xml:space="preserve">3.7 Unfairly low wages are more relevant than unfairly high wage for support for redistribution</w:t>
      </w:r>
    </w:p>
    <w:p>
      <w:pPr>
        <w:pStyle w:val="FirstParagraph"/>
      </w:pPr>
      <w:r>
        <w:t xml:space="preserve">As argued by</w:t>
      </w:r>
      <w:r>
        <w:t xml:space="preserve"> </w:t>
      </w:r>
      <w:r>
        <w:t xml:space="preserve">Cavaillé (</w:t>
      </w:r>
      <w:hyperlink w:anchor="ref-cavaille_fair_2025">
        <w:r>
          <w:rPr>
            <w:rStyle w:val="Hyperlink"/>
          </w:rPr>
          <w:t xml:space="preserve">2025</w:t>
        </w:r>
      </w:hyperlink>
      <w:r>
        <w:t xml:space="preserve">)</w:t>
      </w:r>
      <w:r>
        <w:t xml:space="preserve">, support for redistribution is also dependent on people’s perceptions of fairness. One might be more supportive of redistribution if they perceive that the richest in society earn too much (proportionality principle). At the same time, redistribution might be preferred if the poorest are receiving too little (reciprocity principle). In a special module conducted in 2018, the ESS asked respondents to assess how fair are the incomes received by the top and bottom deciles of the country’s income distribution as well as their own gross income. The scale goes from -4 (Low, extremely unfair), through 0 (Fair), to 4 (High, extremely unfair).</w:t>
      </w:r>
    </w:p>
    <w:p>
      <w:pPr>
        <w:pStyle w:val="BodyText"/>
      </w:pPr>
      <w:hyperlink w:anchor="fig-fairness">
        <w:r>
          <w:rPr>
            <w:rStyle w:val="Hyperlink"/>
          </w:rPr>
          <w:t xml:space="preserve">Figure 10</w:t>
        </w:r>
      </w:hyperlink>
      <w:r>
        <w:t xml:space="preserve"> </w:t>
      </w:r>
      <w:r>
        <w:t xml:space="preserve">below shows the odds-ratio of these variables added to the model described in</w:t>
      </w:r>
      <w:r>
        <w:t xml:space="preserve"> </w:t>
      </w:r>
      <w:hyperlink w:anchor="tbl-multiv-gincdif">
        <w:r>
          <w:rPr>
            <w:rStyle w:val="Hyperlink"/>
          </w:rPr>
          <w:t xml:space="preserve">Table 1</w:t>
        </w:r>
      </w:hyperlink>
      <w:r>
        <w:t xml:space="preserve">. For most countries, the more unfairly high top earners are perceived the higher the odds of supporting redistribution. This relationship is particularly strong in Norway and France, for instance. On the other hand, the more unfairly low bottom earnings are perceived, the lower the odds of supporting redistribution. This association is particularly string in Finland and France. In Ireland, both variables have weaker nonetheless signidficant effects. Across all countries respondents’ perceptions of fairness of their own incomes is not a significant predictor of support for redistribution.</w:t>
      </w:r>
    </w:p>
    <w:tbl>
      <w:tblPr>
        <w:tblStyle w:val="Table"/>
        <w:tblW w:type="pct" w:w="5000"/>
        <w:tblLayout w:type="fixed"/>
        <w:tblLook w:firstRow="0" w:lastRow="0" w:firstColumn="0" w:lastColumn="0" w:noHBand="0" w:noVBand="0" w:val="0000"/>
      </w:tblPr>
      <w:tblGrid>
        <w:gridCol w:w="7920"/>
      </w:tblGrid>
      <w:tr>
        <w:tc>
          <w:tcPr/>
          <w:bookmarkStart w:id="88" w:name="fig-fairness"/>
          <w:p>
            <w:pPr>
              <w:jc w:val="center"/>
            </w:pPr>
            <w:pPr>
              <w:jc w:val="left"/>
              <w:spacing w:before="200"/>
              <w:pStyle w:val="ImageCaption"/>
            </w:pPr>
            <w:r>
              <w:t xml:space="preserve">Figure 10: Effect (odds-ratio) of perception of</w:t>
            </w:r>
            <w:r>
              <w:t xml:space="preserve"> </w:t>
            </w:r>
            <w:r>
              <w:t xml:space="preserve">‘fairness of income’</w:t>
            </w:r>
            <w:r>
              <w:t xml:space="preserve"> </w:t>
            </w:r>
            <w:r>
              <w:t xml:space="preserve">on</w:t>
            </w:r>
            <w:r>
              <w:t xml:space="preserve"> </w:t>
            </w:r>
            <w:r>
              <w:t xml:space="preserve">‘support for redistribution’</w:t>
            </w:r>
            <w:r>
              <w:t xml:space="preserve">, 2018</w:t>
            </w:r>
          </w:p>
          <w:p>
            <w:pPr>
              <w:pStyle w:val="Compact"/>
              <w:jc w:val="center"/>
            </w:pPr>
            <w:r>
              <w:drawing>
                <wp:inline>
                  <wp:extent cx="4160520" cy="2773680"/>
                  <wp:effectExtent b="0" l="0" r="0" t="0"/>
                  <wp:docPr descr="" title="" id="86" name="Picture"/>
                  <a:graphic>
                    <a:graphicData uri="http://schemas.openxmlformats.org/drawingml/2006/picture">
                      <pic:pic>
                        <pic:nvPicPr>
                          <pic:cNvPr descr="img/fig_fairness.png" id="87" name="Picture"/>
                          <pic:cNvPicPr>
                            <a:picLocks noChangeArrowheads="1" noChangeAspect="1"/>
                          </pic:cNvPicPr>
                        </pic:nvPicPr>
                        <pic:blipFill>
                          <a:blip r:embed="rId85"/>
                          <a:stretch>
                            <a:fillRect/>
                          </a:stretch>
                        </pic:blipFill>
                        <pic:spPr bwMode="auto">
                          <a:xfrm>
                            <a:off x="0" y="0"/>
                            <a:ext cx="4160520" cy="2773680"/>
                          </a:xfrm>
                          <a:prstGeom prst="rect">
                            <a:avLst/>
                          </a:prstGeom>
                          <a:noFill/>
                          <a:ln w="9525">
                            <a:noFill/>
                            <a:headEnd/>
                            <a:tailEnd/>
                          </a:ln>
                        </pic:spPr>
                      </pic:pic>
                    </a:graphicData>
                  </a:graphic>
                </wp:inline>
              </w:drawing>
            </w:r>
          </w:p>
          <w:bookmarkEnd w:id="88"/>
        </w:tc>
      </w:tr>
    </w:tbl>
    <w:bookmarkEnd w:id="89"/>
    <w:bookmarkEnd w:id="90"/>
    <w:bookmarkStart w:id="136" w:name="sec-change"/>
    <w:p>
      <w:pPr>
        <w:pStyle w:val="Heading1"/>
      </w:pPr>
      <w:r>
        <w:t xml:space="preserve">4. Has the support changed over time?</w:t>
      </w:r>
    </w:p>
    <w:p>
      <w:pPr>
        <w:pStyle w:val="FirstParagraph"/>
      </w:pPr>
      <w:r>
        <w:t xml:space="preserve">The</w:t>
      </w:r>
      <w:r>
        <w:t xml:space="preserve"> </w:t>
      </w:r>
      <w:hyperlink w:anchor="fig-eu-time">
        <w:r>
          <w:rPr>
            <w:rStyle w:val="Hyperlink"/>
          </w:rPr>
          <w:t xml:space="preserve">Figure 11</w:t>
        </w:r>
      </w:hyperlink>
      <w:r>
        <w:t xml:space="preserve"> </w:t>
      </w:r>
      <w:r>
        <w:t xml:space="preserve">below shows the proportion of respondents in Ireland and other countries who agree that</w:t>
      </w:r>
      <w:r>
        <w:t xml:space="preserve"> </w:t>
      </w:r>
      <w:r>
        <w:t xml:space="preserve">‘Government should reduce income differences’</w:t>
      </w:r>
      <w:r>
        <w:t xml:space="preserve"> </w:t>
      </w:r>
      <w:r>
        <w:t xml:space="preserve">by year of the start of the survey. Overall there is a stable agreement (70)%. Rounds 5 to 7 (2009-2012) as well as 10-11(2022-2024) show a slightly higher agreement compared to other rounds and the European average. This overall trajectory in Ireland is similar to Portugal and differs substantially from the British and Dutch trajectories. The increase during the years of economic recession (when both Ireland and Portugal were severely affected) suggests a relationship between macro-economic indicators and support for redistribution.</w:t>
      </w:r>
    </w:p>
    <w:tbl>
      <w:tblPr>
        <w:tblStyle w:val="Table"/>
        <w:tblW w:type="pct" w:w="5000"/>
        <w:tblLayout w:type="fixed"/>
        <w:tblLook w:firstRow="0" w:lastRow="0" w:firstColumn="0" w:lastColumn="0" w:noHBand="0" w:noVBand="0" w:val="0000"/>
      </w:tblPr>
      <w:tblGrid>
        <w:gridCol w:w="7920"/>
      </w:tblGrid>
      <w:tr>
        <w:tc>
          <w:tcPr/>
          <w:bookmarkStart w:id="94" w:name="fig-eu-time"/>
          <w:p>
            <w:pPr>
              <w:jc w:val="center"/>
            </w:pPr>
            <w:pPr>
              <w:jc w:val="left"/>
              <w:spacing w:before="200"/>
              <w:pStyle w:val="ImageCaption"/>
            </w:pPr>
            <w:r>
              <w:t xml:space="preserve">Figure 11: Proportion agreeing that the</w:t>
            </w:r>
            <w:r>
              <w:t xml:space="preserve"> </w:t>
            </w:r>
            <w:r>
              <w:t xml:space="preserve">‘Government should reduce income differences’</w:t>
            </w:r>
            <w:r>
              <w:t xml:space="preserve"> </w:t>
            </w:r>
            <w:r>
              <w:t xml:space="preserve">by year, 2002-2024</w:t>
            </w:r>
          </w:p>
          <w:p>
            <w:pPr>
              <w:pStyle w:val="Compact"/>
              <w:jc w:val="center"/>
            </w:pPr>
            <w:r>
              <w:drawing>
                <wp:inline>
                  <wp:extent cx="4160520" cy="2971800"/>
                  <wp:effectExtent b="0" l="0" r="0" t="0"/>
                  <wp:docPr descr="" title="" id="92" name="Picture"/>
                  <a:graphic>
                    <a:graphicData uri="http://schemas.openxmlformats.org/drawingml/2006/picture">
                      <pic:pic>
                        <pic:nvPicPr>
                          <pic:cNvPr descr="img/fig_eutime.png" id="93" name="Picture"/>
                          <pic:cNvPicPr>
                            <a:picLocks noChangeArrowheads="1" noChangeAspect="1"/>
                          </pic:cNvPicPr>
                        </pic:nvPicPr>
                        <pic:blipFill>
                          <a:blip r:embed="rId91"/>
                          <a:stretch>
                            <a:fillRect/>
                          </a:stretch>
                        </pic:blipFill>
                        <pic:spPr bwMode="auto">
                          <a:xfrm>
                            <a:off x="0" y="0"/>
                            <a:ext cx="4160520" cy="2971800"/>
                          </a:xfrm>
                          <a:prstGeom prst="rect">
                            <a:avLst/>
                          </a:prstGeom>
                          <a:noFill/>
                          <a:ln w="9525">
                            <a:noFill/>
                            <a:headEnd/>
                            <a:tailEnd/>
                          </a:ln>
                        </pic:spPr>
                      </pic:pic>
                    </a:graphicData>
                  </a:graphic>
                </wp:inline>
              </w:drawing>
            </w:r>
          </w:p>
          <w:bookmarkEnd w:id="94"/>
        </w:tc>
      </w:tr>
    </w:tbl>
    <w:p>
      <w:pPr>
        <w:pStyle w:val="BodyText"/>
      </w:pPr>
      <w:r>
        <w:t xml:space="preserve">However, the recovery from the economic recession initiated a different trajectory for different social classes. As shown in</w:t>
      </w:r>
      <w:r>
        <w:t xml:space="preserve"> </w:t>
      </w:r>
      <w:r>
        <w:rPr>
          <w:b/>
          <w:bCs/>
        </w:rPr>
        <w:t xml:space="preserve">?@fig-fig-time-class</w:t>
      </w:r>
      <w:r>
        <w:t xml:space="preserve">,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p>
      <w:pPr>
        <w:pStyle w:val="SourceCode"/>
      </w:pPr>
      <w:r>
        <w:rPr>
          <w:rStyle w:val="VerbatimChar"/>
        </w:rPr>
        <w:t xml:space="preserve"># A tibble: 11 × 2</w:t>
      </w:r>
      <w:r>
        <w:br/>
      </w:r>
      <w:r>
        <w:rPr>
          <w:rStyle w:val="VerbatimChar"/>
        </w:rPr>
        <w:t xml:space="preserve">   essround  mean</w:t>
      </w:r>
      <w:r>
        <w:br/>
      </w:r>
      <w:r>
        <w:rPr>
          <w:rStyle w:val="VerbatimChar"/>
        </w:rPr>
        <w:t xml:space="preserve">      &lt;dbl&gt; &lt;dbl&gt;</w:t>
      </w:r>
      <w:r>
        <w:br/>
      </w:r>
      <w:r>
        <w:rPr>
          <w:rStyle w:val="VerbatimChar"/>
        </w:rPr>
        <w:t xml:space="preserve"> 1        1 0.791</w:t>
      </w:r>
      <w:r>
        <w:br/>
      </w:r>
      <w:r>
        <w:rPr>
          <w:rStyle w:val="VerbatimChar"/>
        </w:rPr>
        <w:t xml:space="preserve"> 2        2 0.804</w:t>
      </w:r>
      <w:r>
        <w:br/>
      </w:r>
      <w:r>
        <w:rPr>
          <w:rStyle w:val="VerbatimChar"/>
        </w:rPr>
        <w:t xml:space="preserve"> 3        3 0.776</w:t>
      </w:r>
      <w:r>
        <w:br/>
      </w:r>
      <w:r>
        <w:rPr>
          <w:rStyle w:val="VerbatimChar"/>
        </w:rPr>
        <w:t xml:space="preserve"> 4        4 0.746</w:t>
      </w:r>
      <w:r>
        <w:br/>
      </w:r>
      <w:r>
        <w:rPr>
          <w:rStyle w:val="VerbatimChar"/>
        </w:rPr>
        <w:t xml:space="preserve"> 5        5 0.826</w:t>
      </w:r>
      <w:r>
        <w:br/>
      </w:r>
      <w:r>
        <w:rPr>
          <w:rStyle w:val="VerbatimChar"/>
        </w:rPr>
        <w:t xml:space="preserve"> 6        6 0.831</w:t>
      </w:r>
      <w:r>
        <w:br/>
      </w:r>
      <w:r>
        <w:rPr>
          <w:rStyle w:val="VerbatimChar"/>
        </w:rPr>
        <w:t xml:space="preserve"> 7        7 0.810</w:t>
      </w:r>
      <w:r>
        <w:br/>
      </w:r>
      <w:r>
        <w:rPr>
          <w:rStyle w:val="VerbatimChar"/>
        </w:rPr>
        <w:t xml:space="preserve"> 8        8 0.817</w:t>
      </w:r>
      <w:r>
        <w:br/>
      </w:r>
      <w:r>
        <w:rPr>
          <w:rStyle w:val="VerbatimChar"/>
        </w:rPr>
        <w:t xml:space="preserve"> 9        9 0.840</w:t>
      </w:r>
      <w:r>
        <w:br/>
      </w:r>
      <w:r>
        <w:rPr>
          <w:rStyle w:val="VerbatimChar"/>
        </w:rPr>
        <w:t xml:space="preserve">10       10 0.851</w:t>
      </w:r>
      <w:r>
        <w:br/>
      </w:r>
      <w:r>
        <w:rPr>
          <w:rStyle w:val="VerbatimChar"/>
        </w:rPr>
        <w:t xml:space="preserve">11       11 0.854</w:t>
      </w:r>
    </w:p>
    <w:tbl>
      <w:tblPr>
        <w:tblStyle w:val="Table"/>
        <w:tblW w:type="pct" w:w="5000"/>
        <w:tblLayout w:type="fixed"/>
        <w:tblLook w:firstRow="0" w:lastRow="0" w:firstColumn="0" w:lastColumn="0" w:noHBand="0" w:noVBand="0" w:val="0000"/>
      </w:tblPr>
      <w:tblGrid>
        <w:gridCol w:w="7920"/>
      </w:tblGrid>
      <w:tr>
        <w:tc>
          <w:tcPr/>
          <w:bookmarkStart w:id="98" w:name="fig-time-class"/>
          <w:p>
            <w:pPr>
              <w:jc w:val="center"/>
            </w:pPr>
            <w:pPr>
              <w:jc w:val="left"/>
              <w:spacing w:before="200"/>
              <w:pStyle w:val="ImageCaption"/>
            </w:pPr>
            <w:r>
              <w:t xml:space="preserve">Figure 12: Proportion agreeing that the</w:t>
            </w:r>
            <w:r>
              <w:t xml:space="preserve"> </w:t>
            </w:r>
            <w:r>
              <w:t xml:space="preserve">‘Government should reduce income differences’</w:t>
            </w:r>
            <w:r>
              <w:t xml:space="preserve"> </w:t>
            </w:r>
            <w:r>
              <w:t xml:space="preserve">by social class and year, Ireland, 2002-2024</w:t>
            </w:r>
          </w:p>
          <w:p>
            <w:pPr>
              <w:pStyle w:val="Compact"/>
              <w:jc w:val="center"/>
            </w:pPr>
            <w:r>
              <w:drawing>
                <wp:inline>
                  <wp:extent cx="4160520" cy="2600325"/>
                  <wp:effectExtent b="0" l="0" r="0" t="0"/>
                  <wp:docPr descr="" title="" id="96" name="Picture"/>
                  <a:graphic>
                    <a:graphicData uri="http://schemas.openxmlformats.org/drawingml/2006/picture">
                      <pic:pic>
                        <pic:nvPicPr>
                          <pic:cNvPr descr="img/fig_time_class.png" id="97" name="Picture"/>
                          <pic:cNvPicPr>
                            <a:picLocks noChangeArrowheads="1" noChangeAspect="1"/>
                          </pic:cNvPicPr>
                        </pic:nvPicPr>
                        <pic:blipFill>
                          <a:blip r:embed="rId95"/>
                          <a:stretch>
                            <a:fillRect/>
                          </a:stretch>
                        </pic:blipFill>
                        <pic:spPr bwMode="auto">
                          <a:xfrm>
                            <a:off x="0" y="0"/>
                            <a:ext cx="4160520" cy="2600325"/>
                          </a:xfrm>
                          <a:prstGeom prst="rect">
                            <a:avLst/>
                          </a:prstGeom>
                          <a:noFill/>
                          <a:ln w="9525">
                            <a:noFill/>
                            <a:headEnd/>
                            <a:tailEnd/>
                          </a:ln>
                        </pic:spPr>
                      </pic:pic>
                    </a:graphicData>
                  </a:graphic>
                </wp:inline>
              </w:drawing>
            </w:r>
          </w:p>
          <w:bookmarkEnd w:id="98"/>
        </w:tc>
      </w:tr>
    </w:tbl>
    <w:p>
      <w:pPr>
        <w:pStyle w:val="BodyText"/>
      </w:pPr>
      <w:r>
        <w:t xml:space="preserve">The solid line in</w:t>
      </w:r>
      <w:r>
        <w:t xml:space="preserve"> </w:t>
      </w:r>
      <w:hyperlink w:anchor="fig-unemp">
        <w:r>
          <w:rPr>
            <w:rStyle w:val="Hyperlink"/>
          </w:rPr>
          <w:t xml:space="preserve">Figure 13</w:t>
        </w:r>
      </w:hyperlink>
      <w:r>
        <w:t xml:space="preserve"> </w:t>
      </w:r>
      <w:r>
        <w:t xml:space="preserve">shows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 The figure suggest an increase in support in anticipation of the unemployment rise (although based on limited number of observations). On the other hand, the sharp reduction in unemployment was not accompanied by a significant decrease in support, which has been stable since mid-2010’s.</w:t>
      </w:r>
    </w:p>
    <w:tbl>
      <w:tblPr>
        <w:tblStyle w:val="Table"/>
        <w:tblW w:type="pct" w:w="5000"/>
        <w:tblLayout w:type="fixed"/>
        <w:tblLook w:firstRow="0" w:lastRow="0" w:firstColumn="0" w:lastColumn="0" w:noHBand="0" w:noVBand="0" w:val="0000"/>
      </w:tblPr>
      <w:tblGrid>
        <w:gridCol w:w="7920"/>
      </w:tblGrid>
      <w:tr>
        <w:tc>
          <w:tcPr/>
          <w:bookmarkStart w:id="102" w:name="fig-unemp"/>
          <w:p>
            <w:pPr>
              <w:jc w:val="center"/>
            </w:pPr>
            <w:pPr>
              <w:jc w:val="left"/>
              <w:spacing w:before="200"/>
              <w:pStyle w:val="ImageCaption"/>
            </w:pPr>
            <w:r>
              <w:t xml:space="preserve">Figure 13: Monthly unemployment rate and moving average (3 months) of support for redistribution, Ireland, 2002-2023</w:t>
            </w:r>
          </w:p>
          <w:p>
            <w:pPr>
              <w:pStyle w:val="Compact"/>
              <w:jc w:val="center"/>
            </w:pPr>
            <w:r>
              <w:drawing>
                <wp:inline>
                  <wp:extent cx="4160520" cy="2971800"/>
                  <wp:effectExtent b="0" l="0" r="0" t="0"/>
                  <wp:docPr descr="" title="" id="100" name="Picture"/>
                  <a:graphic>
                    <a:graphicData uri="http://schemas.openxmlformats.org/drawingml/2006/picture">
                      <pic:pic>
                        <pic:nvPicPr>
                          <pic:cNvPr descr="img/fig_unemp.png" id="101" name="Picture"/>
                          <pic:cNvPicPr>
                            <a:picLocks noChangeArrowheads="1" noChangeAspect="1"/>
                          </pic:cNvPicPr>
                        </pic:nvPicPr>
                        <pic:blipFill>
                          <a:blip r:embed="rId99"/>
                          <a:stretch>
                            <a:fillRect/>
                          </a:stretch>
                        </pic:blipFill>
                        <pic:spPr bwMode="auto">
                          <a:xfrm>
                            <a:off x="0" y="0"/>
                            <a:ext cx="4160520" cy="2971800"/>
                          </a:xfrm>
                          <a:prstGeom prst="rect">
                            <a:avLst/>
                          </a:prstGeom>
                          <a:noFill/>
                          <a:ln w="9525">
                            <a:noFill/>
                            <a:headEnd/>
                            <a:tailEnd/>
                          </a:ln>
                        </pic:spPr>
                      </pic:pic>
                    </a:graphicData>
                  </a:graphic>
                </wp:inline>
              </w:drawing>
            </w:r>
          </w:p>
          <w:bookmarkEnd w:id="102"/>
        </w:tc>
      </w:tr>
    </w:tbl>
    <w:bookmarkStart w:id="111" w:name="age-and-gender"/>
    <w:p>
      <w:pPr>
        <w:pStyle w:val="Heading2"/>
      </w:pPr>
      <w:r>
        <w:t xml:space="preserve">4.1 Age and Gender</w:t>
      </w:r>
    </w:p>
    <w:p>
      <w:pPr>
        <w:pStyle w:val="FirstParagraph"/>
      </w:pPr>
      <w:r>
        <w:t xml:space="preserve">The relationship between age and the response variable seems to change across rounds. As discussed in</w:t>
      </w:r>
      <w:r>
        <w:t xml:space="preserve"> </w:t>
      </w:r>
      <w:hyperlink w:anchor="sec-who">
        <w:r>
          <w:rPr>
            <w:rStyle w:val="Hyperlink"/>
          </w:rPr>
          <w:t xml:space="preserve">Chapter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w:t>
      </w:r>
      <w:r>
        <w:t xml:space="preserve"> </w:t>
      </w:r>
      <w:hyperlink w:anchor="fig-age-round">
        <w:r>
          <w:rPr>
            <w:rStyle w:val="Hyperlink"/>
          </w:rPr>
          <w:t xml:space="preserve">Figure 14</w:t>
        </w:r>
      </w:hyperlink>
      <w:r>
        <w:t xml:space="preserve"> </w:t>
      </w:r>
      <w:r>
        <w:t xml:space="preserve">in</w:t>
      </w:r>
      <w:r>
        <w:t xml:space="preserve"> </w:t>
      </w:r>
      <w:hyperlink w:anchor="sec-who">
        <w:r>
          <w:rPr>
            <w:rStyle w:val="Hyperlink"/>
          </w:rPr>
          <w:t xml:space="preserve">Chapter 2</w:t>
        </w:r>
      </w:hyperlink>
      <w:r>
        <w:t xml:space="preserve">). During the third and fourth rounds, there is a positive association between age and support for redistribution.</w:t>
      </w:r>
    </w:p>
    <w:tbl>
      <w:tblPr>
        <w:tblStyle w:val="Table"/>
        <w:tblW w:type="pct" w:w="5000"/>
        <w:tblLayout w:type="fixed"/>
        <w:tblLook w:firstRow="0" w:lastRow="0" w:firstColumn="0" w:lastColumn="0" w:noHBand="0" w:noVBand="0" w:val="0000"/>
      </w:tblPr>
      <w:tblGrid>
        <w:gridCol w:w="7920"/>
      </w:tblGrid>
      <w:tr>
        <w:tc>
          <w:tcPr/>
          <w:bookmarkStart w:id="106" w:name="fig-age-round"/>
          <w:p>
            <w:pPr>
              <w:jc w:val="center"/>
            </w:pPr>
            <w:pPr>
              <w:jc w:val="left"/>
              <w:spacing w:before="200"/>
              <w:pStyle w:val="ImageCaption"/>
            </w:pPr>
            <w:r>
              <w:t xml:space="preserve">Figure 14: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4160520"/>
                  <wp:effectExtent b="0" l="0" r="0" t="0"/>
                  <wp:docPr descr="" title="" id="104" name="Picture"/>
                  <a:graphic>
                    <a:graphicData uri="http://schemas.openxmlformats.org/drawingml/2006/picture">
                      <pic:pic>
                        <pic:nvPicPr>
                          <pic:cNvPr descr="img/fig_age_round.png" id="105" name="Picture"/>
                          <pic:cNvPicPr>
                            <a:picLocks noChangeArrowheads="1" noChangeAspect="1"/>
                          </pic:cNvPicPr>
                        </pic:nvPicPr>
                        <pic:blipFill>
                          <a:blip r:embed="rId103"/>
                          <a:stretch>
                            <a:fillRect/>
                          </a:stretch>
                        </pic:blipFill>
                        <pic:spPr bwMode="auto">
                          <a:xfrm>
                            <a:off x="0" y="0"/>
                            <a:ext cx="4160520" cy="4160520"/>
                          </a:xfrm>
                          <a:prstGeom prst="rect">
                            <a:avLst/>
                          </a:prstGeom>
                          <a:noFill/>
                          <a:ln w="9525">
                            <a:noFill/>
                            <a:headEnd/>
                            <a:tailEnd/>
                          </a:ln>
                        </pic:spPr>
                      </pic:pic>
                    </a:graphicData>
                  </a:graphic>
                </wp:inline>
              </w:drawing>
            </w:r>
          </w:p>
          <w:bookmarkEnd w:id="106"/>
        </w:tc>
      </w:tr>
    </w:tbl>
    <w:p>
      <w:pPr>
        <w:pStyle w:val="BodyText"/>
      </w:pPr>
      <w:r>
        <w:t xml:space="preserve">The</w:t>
      </w:r>
      <w:r>
        <w:t xml:space="preserve"> </w:t>
      </w:r>
      <w:hyperlink w:anchor="fig-ess-cohort">
        <w:r>
          <w:rPr>
            <w:rStyle w:val="Hyperlink"/>
          </w:rPr>
          <w:t xml:space="preserve">Figure 15</w:t>
        </w:r>
      </w:hyperlink>
      <w:r>
        <w:t xml:space="preserve"> </w:t>
      </w:r>
      <w:r>
        <w:t xml:space="preserve">below shows the support for redistribution across respondents grouped according to their birth year (pseudo-cohort) and gender. The younger cohort (18-21 years old in the beginning of the series) show increasing support as they enter and establish themselves in the labour market. The two older cohorts show a substantial variation with average higher support during the recession and recovery years (2008-2014).</w:t>
      </w:r>
    </w:p>
    <w:tbl>
      <w:tblPr>
        <w:tblStyle w:val="Table"/>
        <w:tblW w:type="pct" w:w="5000"/>
        <w:tblLayout w:type="fixed"/>
        <w:tblLook w:firstRow="0" w:lastRow="0" w:firstColumn="0" w:lastColumn="0" w:noHBand="0" w:noVBand="0" w:val="0000"/>
      </w:tblPr>
      <w:tblGrid>
        <w:gridCol w:w="7920"/>
      </w:tblGrid>
      <w:tr>
        <w:tc>
          <w:tcPr/>
          <w:bookmarkStart w:id="110" w:name="fig-ess-cohort"/>
          <w:p>
            <w:pPr>
              <w:jc w:val="center"/>
            </w:pPr>
            <w:pPr>
              <w:jc w:val="left"/>
              <w:spacing w:before="200"/>
              <w:pStyle w:val="ImageCaption"/>
            </w:pPr>
            <w:r>
              <w:t xml:space="preserve">Figure 15: Support for redistribution over time by pseudo-cohort and gender, Ireland</w:t>
            </w:r>
          </w:p>
          <w:p>
            <w:pPr>
              <w:pStyle w:val="Compact"/>
              <w:jc w:val="center"/>
            </w:pPr>
            <w:r>
              <w:drawing>
                <wp:inline>
                  <wp:extent cx="4160520" cy="4853940"/>
                  <wp:effectExtent b="0" l="0" r="0" t="0"/>
                  <wp:docPr descr="" title="" id="108" name="Picture"/>
                  <a:graphic>
                    <a:graphicData uri="http://schemas.openxmlformats.org/drawingml/2006/picture">
                      <pic:pic>
                        <pic:nvPicPr>
                          <pic:cNvPr descr="img/fig_cohort.png" id="109" name="Picture"/>
                          <pic:cNvPicPr>
                            <a:picLocks noChangeArrowheads="1" noChangeAspect="1"/>
                          </pic:cNvPicPr>
                        </pic:nvPicPr>
                        <pic:blipFill>
                          <a:blip r:embed="rId107"/>
                          <a:stretch>
                            <a:fillRect/>
                          </a:stretch>
                        </pic:blipFill>
                        <pic:spPr bwMode="auto">
                          <a:xfrm>
                            <a:off x="0" y="0"/>
                            <a:ext cx="4160520" cy="4853940"/>
                          </a:xfrm>
                          <a:prstGeom prst="rect">
                            <a:avLst/>
                          </a:prstGeom>
                          <a:noFill/>
                          <a:ln w="9525">
                            <a:noFill/>
                            <a:headEnd/>
                            <a:tailEnd/>
                          </a:ln>
                        </pic:spPr>
                      </pic:pic>
                    </a:graphicData>
                  </a:graphic>
                </wp:inline>
              </w:drawing>
            </w:r>
          </w:p>
          <w:bookmarkEnd w:id="110"/>
        </w:tc>
      </w:tr>
    </w:tbl>
    <w:p>
      <w:pPr>
        <w:pStyle w:val="BodyText"/>
      </w:pPr>
      <w:r>
        <w:t xml:space="preserve">The visual examination of</w:t>
      </w:r>
      <w:r>
        <w:t xml:space="preserve"> </w:t>
      </w:r>
      <w:hyperlink w:anchor="fig-ess-cohort">
        <w:r>
          <w:rPr>
            <w:rStyle w:val="Hyperlink"/>
          </w:rPr>
          <w:t xml:space="preserve">Figure 15</w:t>
        </w:r>
      </w:hyperlink>
      <w:r>
        <w:t xml:space="preserve"> </w:t>
      </w:r>
      <w:r>
        <w:t xml:space="preserve">shows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bookmarkEnd w:id="111"/>
    <w:bookmarkStart w:id="135" w:name="relevant-events"/>
    <w:p>
      <w:pPr>
        <w:pStyle w:val="Heading2"/>
      </w:pPr>
      <w:r>
        <w:t xml:space="preserve">4.2 Relevant events</w:t>
      </w:r>
    </w:p>
    <w:p>
      <w:pPr>
        <w:pStyle w:val="FirstParagraph"/>
      </w:pPr>
      <w:r>
        <w:t xml:space="preserve">Due to the cross-sectional nature of the European Social Survey, testing the impact of major socio-economic changes, such as the recession or the pandemic, is challenging. The survey interviews different individuals across substantially different time periods, so the differences found across rounds might be due to a diverse range of measured and unmeasured factors.</w:t>
      </w:r>
    </w:p>
    <w:p>
      <w:pPr>
        <w:pStyle w:val="BodyText"/>
      </w:pPr>
      <w:r>
        <w:t xml:space="preserve">However, several Event Study methods provide tools to examine the impact of more specific events contained in shorter time frames.</w:t>
      </w:r>
      <w:r>
        <w:t xml:space="preserve"> </w:t>
      </w:r>
      <w:r>
        <w:t xml:space="preserve">Dunaiski and Tukiainen (</w:t>
      </w:r>
      <w:hyperlink w:anchor="ref-dunaiski_does_2025">
        <w:r>
          <w:rPr>
            <w:rStyle w:val="Hyperlink"/>
          </w:rPr>
          <w:t xml:space="preserve">2025</w:t>
        </w:r>
      </w:hyperlink>
      <w:r>
        <w:t xml:space="preserve">)</w:t>
      </w:r>
      <w:r>
        <w:t xml:space="preserve">, for instance, detected a difference in the perception of fairness of income in Finland in the period immediately after the country’s</w:t>
      </w:r>
      <w:r>
        <w:t xml:space="preserve"> </w:t>
      </w:r>
      <w:r>
        <w:t xml:space="preserve">‘Tax Day’</w:t>
      </w:r>
      <w:r>
        <w:t xml:space="preserve">, when authorities publish a list of individuals with the highest taxable income in the country. The authors utilised the</w:t>
      </w:r>
      <w:r>
        <w:t xml:space="preserve"> </w:t>
      </w:r>
      <w:r>
        <w:t xml:space="preserve">‘Unexpected Event During Survey’</w:t>
      </w:r>
      <w:r>
        <w:t xml:space="preserve"> </w:t>
      </w:r>
      <w:r>
        <w:t xml:space="preserve">(UEDS) design</w:t>
      </w:r>
      <w:r>
        <w:t xml:space="preserve"> </w:t>
      </w:r>
      <w:r>
        <w:t xml:space="preserve">(</w:t>
      </w:r>
      <w:hyperlink w:anchor="ref-munoz_unexpected_2020">
        <w:r>
          <w:rPr>
            <w:rStyle w:val="Hyperlink"/>
          </w:rPr>
          <w:t xml:space="preserve">Muñoz, Falcó-Gimeno, and Hernández 2020</w:t>
        </w:r>
      </w:hyperlink>
      <w:r>
        <w:t xml:space="preserve">)</w:t>
      </w:r>
      <w:r>
        <w:t xml:space="preserve"> </w:t>
      </w:r>
      <w:r>
        <w:t xml:space="preserve">to assess the impact of the event taking the respondents interviewed before the event as the control group in a quasi-experiment approach.</w:t>
      </w:r>
    </w:p>
    <w:bookmarkStart w:id="120" w:name="Xab4cda7b716d90fb1d58464144f5c93ed739a2c"/>
    <w:p>
      <w:pPr>
        <w:pStyle w:val="Heading3"/>
      </w:pPr>
      <w:r>
        <w:t xml:space="preserve">4.2.1 Attitudes are impacted by government campaigns</w:t>
      </w:r>
    </w:p>
    <w:p>
      <w:pPr>
        <w:pStyle w:val="FirstParagraph"/>
      </w:pPr>
      <w:r>
        <w:t xml:space="preserve">During the ESS Round 8 data collection, the government launched a campaign against welfare fraud. With the slogan</w:t>
      </w:r>
      <w:r>
        <w:t xml:space="preserve"> </w:t>
      </w:r>
      <w:r>
        <w:t xml:space="preserve">‘</w:t>
      </w:r>
      <w:r>
        <w:rPr>
          <w:i/>
          <w:iCs/>
        </w:rPr>
        <w:t xml:space="preserve">Welfare Cheats, Cheat Us All</w:t>
      </w:r>
      <w:r>
        <w:t xml:space="preserve">’</w:t>
      </w:r>
      <w:r>
        <w:t xml:space="preserve">, the Department of Social Protection funded a widely publicised media campaign with the intent of increasing fraud reporting and changing public perceptions of welfare fraud</w:t>
      </w:r>
      <w:r>
        <w:t xml:space="preserve"> </w:t>
      </w:r>
      <w:r>
        <w:t xml:space="preserve">(</w:t>
      </w:r>
      <w:hyperlink w:anchor="ref-devereux_fake_2019">
        <w:r>
          <w:rPr>
            <w:rStyle w:val="Hyperlink"/>
          </w:rPr>
          <w:t xml:space="preserve">Devereux and Power 2019</w:t>
        </w:r>
      </w:hyperlink>
      <w:r>
        <w:t xml:space="preserve">)</w:t>
      </w:r>
      <w:r>
        <w:t xml:space="preserve">. The campaign ran from April to July 2017. 73% of the respondents had been interviewed by then and the remaining interviews were conducted during this period. After analysing the content of the campaign and reporting statistics,</w:t>
      </w:r>
      <w:r>
        <w:t xml:space="preserve"> </w:t>
      </w:r>
      <w:r>
        <w:t xml:space="preserve">Power, Devereux, and Ryan (</w:t>
      </w:r>
      <w:hyperlink w:anchor="ref-power_framing_2022">
        <w:r>
          <w:rPr>
            <w:rStyle w:val="Hyperlink"/>
          </w:rPr>
          <w:t xml:space="preserve">2022</w:t>
        </w:r>
      </w:hyperlink>
      <w:r>
        <w:t xml:space="preserve">)</w:t>
      </w:r>
      <w:r>
        <w:t xml:space="preserve"> </w:t>
      </w:r>
      <w:r>
        <w:t xml:space="preserve">show that it had not affect the overall number of fraud reports, but may impacted the public legitimacy of welfare recipients in general.</w:t>
      </w:r>
    </w:p>
    <w:p>
      <w:pPr>
        <w:pStyle w:val="BodyText"/>
      </w:pPr>
      <w:r>
        <w:t xml:space="preserve">Using data from the ESS, we assessed the impact of this campaign on welfare attitudes in Ireland.</w:t>
      </w:r>
      <w:r>
        <w:t xml:space="preserve"> </w:t>
      </w:r>
      <w:hyperlink w:anchor="fig-dsp-mean">
        <w:r>
          <w:rPr>
            <w:rStyle w:val="Hyperlink"/>
          </w:rPr>
          <w:t xml:space="preserve">Figure 16</w:t>
        </w:r>
      </w:hyperlink>
      <w:r>
        <w:t xml:space="preserve"> </w:t>
      </w:r>
      <w:r>
        <w:t xml:space="preserve">shows the 7-day moving average of three variables in the 30-day time window around the launch of the campaing on the 17th of April. For two of the three statements related to welfare attitudes, the visual examination suggests a change of trajectory after the beginning of the campaign.</w:t>
      </w:r>
    </w:p>
    <w:tbl>
      <w:tblPr>
        <w:tblStyle w:val="Table"/>
        <w:tblW w:type="pct" w:w="5000"/>
        <w:tblLayout w:type="fixed"/>
        <w:tblLook w:firstRow="0" w:lastRow="0" w:firstColumn="0" w:lastColumn="0" w:noHBand="0" w:noVBand="0" w:val="0000"/>
      </w:tblPr>
      <w:tblGrid>
        <w:gridCol w:w="7920"/>
      </w:tblGrid>
      <w:tr>
        <w:tc>
          <w:tcPr/>
          <w:bookmarkStart w:id="115" w:name="fig-dsp-mean"/>
          <w:p>
            <w:pPr>
              <w:jc w:val="center"/>
            </w:pPr>
            <w:pPr>
              <w:jc w:val="left"/>
              <w:spacing w:before="200"/>
              <w:pStyle w:val="ImageCaption"/>
            </w:pPr>
            <w:r>
              <w:t xml:space="preserve">Figure 16: 7-day moving average for three questions on welfare attitudes, Ireland, 2016-2017</w:t>
            </w:r>
          </w:p>
          <w:p>
            <w:pPr>
              <w:pStyle w:val="Compact"/>
              <w:jc w:val="center"/>
            </w:pPr>
            <w:r>
              <w:drawing>
                <wp:inline>
                  <wp:extent cx="4160520" cy="5824727"/>
                  <wp:effectExtent b="0" l="0" r="0" t="0"/>
                  <wp:docPr descr="" title="" id="113" name="Picture"/>
                  <a:graphic>
                    <a:graphicData uri="http://schemas.openxmlformats.org/drawingml/2006/picture">
                      <pic:pic>
                        <pic:nvPicPr>
                          <pic:cNvPr descr="img/fig_dsp_mean.png" id="114" name="Picture"/>
                          <pic:cNvPicPr>
                            <a:picLocks noChangeArrowheads="1" noChangeAspect="1"/>
                          </pic:cNvPicPr>
                        </pic:nvPicPr>
                        <pic:blipFill>
                          <a:blip r:embed="rId112"/>
                          <a:stretch>
                            <a:fillRect/>
                          </a:stretch>
                        </pic:blipFill>
                        <pic:spPr bwMode="auto">
                          <a:xfrm>
                            <a:off x="0" y="0"/>
                            <a:ext cx="4160520" cy="5824727"/>
                          </a:xfrm>
                          <a:prstGeom prst="rect">
                            <a:avLst/>
                          </a:prstGeom>
                          <a:noFill/>
                          <a:ln w="9525">
                            <a:noFill/>
                            <a:headEnd/>
                            <a:tailEnd/>
                          </a:ln>
                        </pic:spPr>
                      </pic:pic>
                    </a:graphicData>
                  </a:graphic>
                </wp:inline>
              </w:drawing>
            </w:r>
          </w:p>
          <w:bookmarkEnd w:id="115"/>
        </w:tc>
      </w:tr>
    </w:tbl>
    <w:p>
      <w:pPr>
        <w:pStyle w:val="BodyText"/>
      </w:pPr>
      <w:r>
        <w:t xml:space="preserve">To test if the difference is statistically significant, we built a logistic regression model with time-fixed effects and controls for potential socio-demographic differences in the period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class, age and gender were included in the model. The observations selected for the analysis are from interviews conducted two weeks prior or after the campaign launch. We also removed from the analysis respondents who indicate that they do not watch, listen or read news about politics or current affairs (9%).</w:t>
      </w:r>
    </w:p>
    <w:p>
      <w:pPr>
        <w:pStyle w:val="BodyText"/>
      </w:pPr>
      <w:hyperlink w:anchor="fig-dsp-model">
        <w:r>
          <w:rPr>
            <w:rStyle w:val="Hyperlink"/>
          </w:rPr>
          <w:t xml:space="preserve">Figure 17</w:t>
        </w:r>
      </w:hyperlink>
      <w:r>
        <w:t xml:space="preserve"> </w:t>
      </w:r>
      <w:r>
        <w:t xml:space="preserve">shows the estimates of the effect of being interviewed after the launch of the DSP campaign. No significant effects were for the variables related to support for redistribution and the view that social benefits lead to a more equal society. However, the model suggests that respondents have about 80% higher odds of agreeing that social benefits make people lazy if interviewed up to 15 days after the launch of the campaign compared to those interviewed up to 15 days prior to the launch.</w:t>
      </w:r>
    </w:p>
    <w:tbl>
      <w:tblPr>
        <w:tblStyle w:val="Table"/>
        <w:tblW w:type="pct" w:w="5000"/>
        <w:tblLayout w:type="fixed"/>
        <w:tblLook w:firstRow="0" w:lastRow="0" w:firstColumn="0" w:lastColumn="0" w:noHBand="0" w:noVBand="0" w:val="0000"/>
      </w:tblPr>
      <w:tblGrid>
        <w:gridCol w:w="7920"/>
      </w:tblGrid>
      <w:tr>
        <w:tc>
          <w:tcPr/>
          <w:bookmarkStart w:id="119" w:name="fig-dsp-model"/>
          <w:p>
            <w:pPr>
              <w:jc w:val="center"/>
            </w:pPr>
            <w:pPr>
              <w:jc w:val="left"/>
              <w:spacing w:before="200"/>
              <w:pStyle w:val="ImageCaption"/>
            </w:pPr>
            <w:r>
              <w:t xml:space="preserve">Figure 17: Estimates (odds-ratio) for period of interview on welfare attitudes, Ireland, 2016-2017</w:t>
            </w:r>
          </w:p>
          <w:p>
            <w:pPr>
              <w:pStyle w:val="Compact"/>
              <w:jc w:val="center"/>
            </w:pPr>
            <w:r>
              <w:drawing>
                <wp:inline>
                  <wp:extent cx="4160520" cy="3467100"/>
                  <wp:effectExtent b="0" l="0" r="0" t="0"/>
                  <wp:docPr descr="" title="" id="117" name="Picture"/>
                  <a:graphic>
                    <a:graphicData uri="http://schemas.openxmlformats.org/drawingml/2006/picture">
                      <pic:pic>
                        <pic:nvPicPr>
                          <pic:cNvPr descr="img/fig_dsp_model.png" id="118" name="Picture"/>
                          <pic:cNvPicPr>
                            <a:picLocks noChangeArrowheads="1" noChangeAspect="1"/>
                          </pic:cNvPicPr>
                        </pic:nvPicPr>
                        <pic:blipFill>
                          <a:blip r:embed="rId116"/>
                          <a:stretch>
                            <a:fillRect/>
                          </a:stretch>
                        </pic:blipFill>
                        <pic:spPr bwMode="auto">
                          <a:xfrm>
                            <a:off x="0" y="0"/>
                            <a:ext cx="4160520" cy="3467100"/>
                          </a:xfrm>
                          <a:prstGeom prst="rect">
                            <a:avLst/>
                          </a:prstGeom>
                          <a:noFill/>
                          <a:ln w="9525">
                            <a:noFill/>
                            <a:headEnd/>
                            <a:tailEnd/>
                          </a:ln>
                        </pic:spPr>
                      </pic:pic>
                    </a:graphicData>
                  </a:graphic>
                </wp:inline>
              </w:drawing>
            </w:r>
          </w:p>
          <w:bookmarkEnd w:id="119"/>
        </w:tc>
      </w:tr>
    </w:tbl>
    <w:bookmarkEnd w:id="120"/>
    <w:bookmarkStart w:id="129" w:name="budget-announcement"/>
    <w:p>
      <w:pPr>
        <w:pStyle w:val="Heading3"/>
      </w:pPr>
      <w:r>
        <w:t xml:space="preserve">4.2.2 Budget announcement</w:t>
      </w:r>
    </w:p>
    <w:p>
      <w:pPr>
        <w:pStyle w:val="FirstParagraph"/>
      </w:pPr>
      <w:r>
        <w:t xml:space="preserve">Another relevant event for welfare attitudes and support for redistribution is the annual announcement of the public budget for the following year. Although this cannot be considered an unexpected event, we hypothesise that the media coverage after the announcement may increase the salience of welfare policies and positively impact respondents’ support for redistribution.</w:t>
      </w:r>
    </w:p>
    <w:p>
      <w:pPr>
        <w:pStyle w:val="BodyText"/>
      </w:pPr>
      <w:r>
        <w:t xml:space="preserve">The announcement dates in Ireland coincided with the European Social Survey fieldwork in six different years: 2006, 2009, 2011, 2012, 2014, and 2023. The</w:t>
      </w:r>
      <w:r>
        <w:t xml:space="preserve"> </w:t>
      </w:r>
      <w:hyperlink w:anchor="fig-budget-mean">
        <w:r>
          <w:rPr>
            <w:rStyle w:val="Hyperlink"/>
          </w:rPr>
          <w:t xml:space="preserve">Figure 18</w:t>
        </w:r>
      </w:hyperlink>
      <w:r>
        <w:t xml:space="preserve"> </w:t>
      </w:r>
      <w:r>
        <w:t xml:space="preserve">shows the 7-day moving average for the proportion of respondents who agree that the government should reduce differences in income within the 30-day time window around the announcement of the budget.</w:t>
      </w:r>
    </w:p>
    <w:tbl>
      <w:tblPr>
        <w:tblStyle w:val="Table"/>
        <w:tblW w:type="pct" w:w="5000"/>
        <w:tblLayout w:type="fixed"/>
        <w:tblLook w:firstRow="0" w:lastRow="0" w:firstColumn="0" w:lastColumn="0" w:noHBand="0" w:noVBand="0" w:val="0000"/>
      </w:tblPr>
      <w:tblGrid>
        <w:gridCol w:w="7920"/>
      </w:tblGrid>
      <w:tr>
        <w:tc>
          <w:tcPr/>
          <w:bookmarkStart w:id="124" w:name="fig-budget-mean"/>
          <w:p>
            <w:pPr>
              <w:jc w:val="center"/>
            </w:pPr>
            <w:pPr>
              <w:jc w:val="left"/>
              <w:spacing w:before="200"/>
              <w:pStyle w:val="ImageCaption"/>
            </w:pPr>
            <w:r>
              <w:t xml:space="preserve">Figure 18: 7-day moving average for support for redistribution within the 30-day period of the public budget announcement, Ireland</w:t>
            </w:r>
          </w:p>
          <w:p>
            <w:pPr>
              <w:pStyle w:val="Compact"/>
              <w:jc w:val="center"/>
            </w:pPr>
            <w:r>
              <w:drawing>
                <wp:inline>
                  <wp:extent cx="4160520" cy="4160520"/>
                  <wp:effectExtent b="0" l="0" r="0" t="0"/>
                  <wp:docPr descr="" title="" id="122" name="Picture"/>
                  <a:graphic>
                    <a:graphicData uri="http://schemas.openxmlformats.org/drawingml/2006/picture">
                      <pic:pic>
                        <pic:nvPicPr>
                          <pic:cNvPr descr="img/fig_budget_mean.png" id="123" name="Picture"/>
                          <pic:cNvPicPr>
                            <a:picLocks noChangeArrowheads="1" noChangeAspect="1"/>
                          </pic:cNvPicPr>
                        </pic:nvPicPr>
                        <pic:blipFill>
                          <a:blip r:embed="rId121"/>
                          <a:stretch>
                            <a:fillRect/>
                          </a:stretch>
                        </pic:blipFill>
                        <pic:spPr bwMode="auto">
                          <a:xfrm>
                            <a:off x="0" y="0"/>
                            <a:ext cx="4160520" cy="4160520"/>
                          </a:xfrm>
                          <a:prstGeom prst="rect">
                            <a:avLst/>
                          </a:prstGeom>
                          <a:noFill/>
                          <a:ln w="9525">
                            <a:noFill/>
                            <a:headEnd/>
                            <a:tailEnd/>
                          </a:ln>
                        </pic:spPr>
                      </pic:pic>
                    </a:graphicData>
                  </a:graphic>
                </wp:inline>
              </w:drawing>
            </w:r>
          </w:p>
          <w:bookmarkEnd w:id="124"/>
        </w:tc>
      </w:tr>
    </w:tbl>
    <w:p>
      <w:pPr>
        <w:pStyle w:val="BodyText"/>
      </w:pPr>
      <w:r>
        <w:t xml:space="preserve">To test the impact of the budget announcement, we adopted a similar approach to the one discussed in the previous section. The model includes the same variables to control for sistematic differences in the sample composition of those interviewed before and after the announcement. Using the same time window of 30 days, we do not find any statistically significant differences in the support for redistribution. However, the difference is statistically significant when we select a shorter time window for the analyses.</w:t>
      </w:r>
    </w:p>
    <w:p>
      <w:pPr>
        <w:pStyle w:val="BodyText"/>
      </w:pPr>
      <w:r>
        <w:t xml:space="preserve">As shown in</w:t>
      </w:r>
      <w:r>
        <w:t xml:space="preserve"> </w:t>
      </w:r>
      <w:hyperlink w:anchor="fig-budget-model">
        <w:r>
          <w:rPr>
            <w:rStyle w:val="Hyperlink"/>
          </w:rPr>
          <w:t xml:space="preserve">Figure 19</w:t>
        </w:r>
      </w:hyperlink>
      <w:r>
        <w:t xml:space="preserve">, when we consider only interviews conducted within a week or two-week period of the announcement, the differences are statistically significant. The direction of the effect is the opposite of what expected, with lower support for redistribution after the publication of the budget. One potential explanation is a higher salience of redistributive issues prior to the publication as a result of media speculation and campaigns from different organisation attempting to influence the public debate.</w:t>
      </w:r>
    </w:p>
    <w:p>
      <w:pPr>
        <w:pStyle w:val="BodyText"/>
      </w:pPr>
      <w:r>
        <w:t xml:space="preserve">This relatively weak and short-lived effect found in Ireland goes in the same direction of</w:t>
      </w:r>
      <w:r>
        <w:t xml:space="preserve"> </w:t>
      </w:r>
      <w:r>
        <w:t xml:space="preserve">Dunaiski and Tukiainen (</w:t>
      </w:r>
      <w:hyperlink w:anchor="ref-dunaiski_does_2025">
        <w:r>
          <w:rPr>
            <w:rStyle w:val="Hyperlink"/>
          </w:rPr>
          <w:t xml:space="preserve">2025</w:t>
        </w:r>
      </w:hyperlink>
      <w:r>
        <w:t xml:space="preserve">)</w:t>
      </w:r>
      <w:r>
        <w:t xml:space="preserve"> </w:t>
      </w:r>
      <w:r>
        <w:t xml:space="preserve">conclusion that political events such as the</w:t>
      </w:r>
      <w:r>
        <w:t xml:space="preserve"> </w:t>
      </w:r>
      <w:r>
        <w:t xml:space="preserve">‘Tax Day’</w:t>
      </w:r>
      <w:r>
        <w:t xml:space="preserve"> </w:t>
      </w:r>
      <w:r>
        <w:t xml:space="preserve">in Finland have limited impact on attitudes.</w:t>
      </w:r>
    </w:p>
    <w:tbl>
      <w:tblPr>
        <w:tblStyle w:val="Table"/>
        <w:tblW w:type="pct" w:w="5000"/>
        <w:tblLayout w:type="fixed"/>
        <w:tblLook w:firstRow="0" w:lastRow="0" w:firstColumn="0" w:lastColumn="0" w:noHBand="0" w:noVBand="0" w:val="0000"/>
      </w:tblPr>
      <w:tblGrid>
        <w:gridCol w:w="7920"/>
      </w:tblGrid>
      <w:tr>
        <w:tc>
          <w:tcPr/>
          <w:bookmarkStart w:id="128" w:name="fig-budget-model"/>
          <w:p>
            <w:pPr>
              <w:jc w:val="center"/>
            </w:pPr>
            <w:pPr>
              <w:jc w:val="left"/>
              <w:spacing w:before="200"/>
              <w:pStyle w:val="ImageCaption"/>
            </w:pPr>
            <w:r>
              <w:t xml:space="preserve">Figure 19: Estimates (odds-ratio) for period of interview on support for redistribution by time window, Ireland</w:t>
            </w:r>
          </w:p>
          <w:p>
            <w:pPr>
              <w:pStyle w:val="Compact"/>
              <w:jc w:val="center"/>
            </w:pPr>
            <w:r>
              <w:drawing>
                <wp:inline>
                  <wp:extent cx="4160520" cy="4160520"/>
                  <wp:effectExtent b="0" l="0" r="0" t="0"/>
                  <wp:docPr descr="" title="" id="126" name="Picture"/>
                  <a:graphic>
                    <a:graphicData uri="http://schemas.openxmlformats.org/drawingml/2006/picture">
                      <pic:pic>
                        <pic:nvPicPr>
                          <pic:cNvPr descr="img/fig_budget_model.png" id="127" name="Picture"/>
                          <pic:cNvPicPr>
                            <a:picLocks noChangeArrowheads="1" noChangeAspect="1"/>
                          </pic:cNvPicPr>
                        </pic:nvPicPr>
                        <pic:blipFill>
                          <a:blip r:embed="rId125"/>
                          <a:stretch>
                            <a:fillRect/>
                          </a:stretch>
                        </pic:blipFill>
                        <pic:spPr bwMode="auto">
                          <a:xfrm>
                            <a:off x="0" y="0"/>
                            <a:ext cx="4160520" cy="4160520"/>
                          </a:xfrm>
                          <a:prstGeom prst="rect">
                            <a:avLst/>
                          </a:prstGeom>
                          <a:noFill/>
                          <a:ln w="9525">
                            <a:noFill/>
                            <a:headEnd/>
                            <a:tailEnd/>
                          </a:ln>
                        </pic:spPr>
                      </pic:pic>
                    </a:graphicData>
                  </a:graphic>
                </wp:inline>
              </w:drawing>
            </w:r>
          </w:p>
          <w:bookmarkEnd w:id="128"/>
        </w:tc>
      </w:tr>
    </w:tbl>
    <w:bookmarkEnd w:id="129"/>
    <w:bookmarkStart w:id="134" w:name="pandemic"/>
    <w:p>
      <w:pPr>
        <w:pStyle w:val="Heading3"/>
      </w:pPr>
      <w:r>
        <w:t xml:space="preserve">4.2.3 Pandemic</w:t>
      </w:r>
    </w:p>
    <w:p>
      <w:pPr>
        <w:pStyle w:val="FirstParagraph"/>
      </w:pPr>
      <w:r>
        <w:t xml:space="preserve">A major event experienced during the ESS time series was the COVID19 pandemic. Evidence from a survey experiment in the United States show that participants were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The first ESS data collection after the pandemic in Ireland occurred between November 2021 and August 2022. By this time, as shown in</w:t>
      </w:r>
      <w:r>
        <w:t xml:space="preserve"> </w:t>
      </w:r>
      <w:hyperlink w:anchor="fig-unemp">
        <w:r>
          <w:rPr>
            <w:rStyle w:val="Hyperlink"/>
          </w:rPr>
          <w:t xml:space="preserve">Figure 13</w:t>
        </w:r>
      </w:hyperlink>
      <w:r>
        <w:t xml:space="preserve">, the unemployment rate was already returning to levels similar to the period before the start of the pandemic. The survey included a specific module on items related to respondents’ experiences during the pandemic. A sub-group of questions asked participants to indicate if any of the following happened to them as a result of the coronavirus pandemic:</w:t>
      </w:r>
    </w:p>
    <w:p>
      <w:pPr>
        <w:pStyle w:val="BodyText"/>
      </w:pPr>
      <w:r>
        <w:rPr>
          <w:i/>
          <w:iCs/>
        </w:rPr>
        <w:t xml:space="preserve">I was made redundant/lost my job</w:t>
      </w:r>
    </w:p>
    <w:p>
      <w:pPr>
        <w:pStyle w:val="BodyText"/>
      </w:pPr>
      <w:r>
        <w:rPr>
          <w:i/>
          <w:iCs/>
        </w:rPr>
        <w:t xml:space="preserve">I have not been in work at any time since the start of the pandemic</w:t>
      </w:r>
    </w:p>
    <w:p>
      <w:pPr>
        <w:pStyle w:val="BodyText"/>
      </w:pPr>
      <w:r>
        <w:rPr>
          <w:i/>
          <w:iCs/>
        </w:rPr>
        <w:t xml:space="preserve">The income from my job was reduced</w:t>
      </w:r>
    </w:p>
    <w:p>
      <w:pPr>
        <w:pStyle w:val="BodyText"/>
      </w:pPr>
      <w:r>
        <w:rPr>
          <w:i/>
          <w:iCs/>
        </w:rPr>
        <w:t xml:space="preserve">My working hours were reduced</w:t>
      </w:r>
    </w:p>
    <w:p>
      <w:pPr>
        <w:pStyle w:val="BodyText"/>
      </w:pPr>
      <w:r>
        <w:rPr>
          <w:i/>
          <w:iCs/>
        </w:rPr>
        <w:t xml:space="preserve">I was furloughed</w:t>
      </w:r>
    </w:p>
    <w:p>
      <w:pPr>
        <w:pStyle w:val="BodyText"/>
      </w:pPr>
      <w:r>
        <w:rPr>
          <w:i/>
          <w:iCs/>
        </w:rPr>
        <w:t xml:space="preserve">I was forced to take unpaid leave/holiday</w:t>
      </w:r>
    </w:p>
    <w:p>
      <w:pPr>
        <w:pStyle w:val="BodyText"/>
      </w:pPr>
      <w:r>
        <w:rPr>
          <w:i/>
          <w:iCs/>
        </w:rPr>
        <w:t xml:space="preserve">None of these</w:t>
      </w:r>
    </w:p>
    <w:p>
      <w:pPr>
        <w:pStyle w:val="BodyText"/>
      </w:pPr>
      <w:hyperlink w:anchor="fig-covid">
        <w:r>
          <w:rPr>
            <w:rStyle w:val="Hyperlink"/>
          </w:rPr>
          <w:t xml:space="preserve">Figure 20</w:t>
        </w:r>
      </w:hyperlink>
      <w:r>
        <w:t xml:space="preserve"> </w:t>
      </w:r>
      <w:r>
        <w:t xml:space="preserve">below shows the proportion of respondents who agree that the government should reduce differences in income by social class and personal impact of the pandemic. Overall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Style w:val="Table"/>
        <w:tblW w:type="pct" w:w="5000"/>
        <w:tblLayout w:type="fixed"/>
        <w:tblLook w:firstRow="0" w:lastRow="0" w:firstColumn="0" w:lastColumn="0" w:noHBand="0" w:noVBand="0" w:val="0000"/>
      </w:tblPr>
      <w:tblGrid>
        <w:gridCol w:w="7920"/>
      </w:tblGrid>
      <w:tr>
        <w:tc>
          <w:tcPr/>
          <w:bookmarkStart w:id="133" w:name="fig-covid"/>
          <w:p>
            <w:pPr>
              <w:jc w:val="center"/>
            </w:pPr>
            <w:pPr>
              <w:jc w:val="left"/>
              <w:spacing w:before="200"/>
              <w:pStyle w:val="ImageCaption"/>
            </w:pPr>
            <w:r>
              <w:t xml:space="preserve">Figure 20: Proportion of support for redistribution by social class and personal impact of the pandemic, Ireland, 2021</w:t>
            </w:r>
          </w:p>
          <w:p>
            <w:pPr>
              <w:pStyle w:val="Compact"/>
              <w:jc w:val="center"/>
            </w:pPr>
            <w:r>
              <w:drawing>
                <wp:inline>
                  <wp:extent cx="4160520" cy="2600325"/>
                  <wp:effectExtent b="0" l="0" r="0" t="0"/>
                  <wp:docPr descr="" title="" id="131" name="Picture"/>
                  <a:graphic>
                    <a:graphicData uri="http://schemas.openxmlformats.org/drawingml/2006/picture">
                      <pic:pic>
                        <pic:nvPicPr>
                          <pic:cNvPr descr="img/fig_covid.png" id="132" name="Picture"/>
                          <pic:cNvPicPr>
                            <a:picLocks noChangeArrowheads="1" noChangeAspect="1"/>
                          </pic:cNvPicPr>
                        </pic:nvPicPr>
                        <pic:blipFill>
                          <a:blip r:embed="rId130"/>
                          <a:stretch>
                            <a:fillRect/>
                          </a:stretch>
                        </pic:blipFill>
                        <pic:spPr bwMode="auto">
                          <a:xfrm>
                            <a:off x="0" y="0"/>
                            <a:ext cx="4160520" cy="2600325"/>
                          </a:xfrm>
                          <a:prstGeom prst="rect">
                            <a:avLst/>
                          </a:prstGeom>
                          <a:noFill/>
                          <a:ln w="9525">
                            <a:noFill/>
                            <a:headEnd/>
                            <a:tailEnd/>
                          </a:ln>
                        </pic:spPr>
                      </pic:pic>
                    </a:graphicData>
                  </a:graphic>
                </wp:inline>
              </w:drawing>
            </w:r>
          </w:p>
          <w:bookmarkEnd w:id="133"/>
        </w:tc>
      </w:tr>
    </w:tbl>
    <w:bookmarkEnd w:id="134"/>
    <w:bookmarkEnd w:id="135"/>
    <w:bookmarkEnd w:id="136"/>
    <w:bookmarkStart w:id="190" w:name="references"/>
    <w:p>
      <w:pPr>
        <w:pStyle w:val="Heading1"/>
      </w:pPr>
      <w:r>
        <w:t xml:space="preserve">References</w:t>
      </w:r>
    </w:p>
    <w:bookmarkStart w:id="189" w:name="refs"/>
    <w:bookmarkStart w:id="138" w:name="ref-attewell_deservingness_2021"/>
    <w:p>
      <w:pPr>
        <w:pStyle w:val="Bibliography"/>
      </w:pPr>
      <w:r>
        <w:t xml:space="preserve">Attewell, David. 2021.</w:t>
      </w:r>
      <w:r>
        <w:t xml:space="preserve"> </w:t>
      </w:r>
      <w:r>
        <w:t xml:space="preserve">“Deservingness Perceptions, Welfare State Support and Vote Choice in</w:t>
      </w:r>
      <w:r>
        <w:t xml:space="preserve"> </w:t>
      </w:r>
      <w:r>
        <w:t xml:space="preserve">Western</w:t>
      </w:r>
      <w:r>
        <w:t xml:space="preserve"> </w:t>
      </w:r>
      <w:r>
        <w:t xml:space="preserve">Europe</w:t>
      </w:r>
      <w:r>
        <w:t xml:space="preserve">.”</w:t>
      </w:r>
      <w:r>
        <w:t xml:space="preserve"> </w:t>
      </w:r>
      <w:r>
        <w:rPr>
          <w:i/>
          <w:iCs/>
        </w:rPr>
        <w:t xml:space="preserve">West European Politics</w:t>
      </w:r>
      <w:r>
        <w:t xml:space="preserve"> </w:t>
      </w:r>
      <w:r>
        <w:t xml:space="preserve">44 (3): 611–34.</w:t>
      </w:r>
      <w:r>
        <w:t xml:space="preserve"> </w:t>
      </w:r>
      <w:hyperlink r:id="rId137">
        <w:r>
          <w:rPr>
            <w:rStyle w:val="Hyperlink"/>
          </w:rPr>
          <w:t xml:space="preserve">https://doi.org/10.1080/01402382.2020.1715704</w:t>
        </w:r>
      </w:hyperlink>
      <w:r>
        <w:t xml:space="preserve">.</w:t>
      </w:r>
    </w:p>
    <w:bookmarkEnd w:id="138"/>
    <w:bookmarkStart w:id="140" w:name="ref-bonnet_what_2024"/>
    <w:p>
      <w:pPr>
        <w:pStyle w:val="Bibliography"/>
      </w:pPr>
      <w:r>
        <w:t xml:space="preserve">Bonnet, Julien, Emanuele Ciani, Gianluca Grimalda, Fabrice Murtin, and David Pipke. 2024.</w:t>
      </w:r>
      <w:r>
        <w:t xml:space="preserve"> </w:t>
      </w:r>
      <w:r>
        <w:t xml:space="preserve">“What Explains Preferences for Redistribution?:</w:t>
      </w:r>
      <w:r>
        <w:t xml:space="preserve"> </w:t>
      </w:r>
      <w:r>
        <w:t xml:space="preserve">Evidence</w:t>
      </w:r>
      <w:r>
        <w:t xml:space="preserve"> </w:t>
      </w:r>
      <w:r>
        <w:t xml:space="preserve">from an International Survey.”</w:t>
      </w:r>
      <w:r>
        <w:t xml:space="preserve"> </w:t>
      </w:r>
      <w:r>
        <w:t xml:space="preserve">{OECD} {Papers} on {Well}-being and {Inequalities}.</w:t>
      </w:r>
      <w:r>
        <w:t xml:space="preserve"> </w:t>
      </w:r>
      <w:hyperlink r:id="rId139">
        <w:r>
          <w:rPr>
            <w:rStyle w:val="Hyperlink"/>
          </w:rPr>
          <w:t xml:space="preserve">https://doi.org/10.1787/c0120dea-en</w:t>
        </w:r>
      </w:hyperlink>
      <w:r>
        <w:t xml:space="preserve">.</w:t>
      </w:r>
    </w:p>
    <w:bookmarkEnd w:id="140"/>
    <w:bookmarkStart w:id="142"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41">
        <w:r>
          <w:rPr>
            <w:rStyle w:val="Hyperlink"/>
          </w:rPr>
          <w:t xml:space="preserve">https://doi.org/10.1177/09589287241290742</w:t>
        </w:r>
      </w:hyperlink>
      <w:r>
        <w:t xml:space="preserve">.</w:t>
      </w:r>
    </w:p>
    <w:bookmarkEnd w:id="142"/>
    <w:bookmarkStart w:id="144"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43">
        <w:r>
          <w:rPr>
            <w:rStyle w:val="Hyperlink"/>
          </w:rPr>
          <w:t xml:space="preserve">https://doi.org/10.1016/j.jebo.2021.03.017</w:t>
        </w:r>
      </w:hyperlink>
      <w:r>
        <w:t xml:space="preserve">.</w:t>
      </w:r>
    </w:p>
    <w:bookmarkEnd w:id="144"/>
    <w:bookmarkStart w:id="146" w:name="ref-cavaille_fair_2025"/>
    <w:p>
      <w:pPr>
        <w:pStyle w:val="Bibliography"/>
      </w:pPr>
      <w:r>
        <w:t xml:space="preserve">Cavaillé, Charlotte. 2025.</w:t>
      </w:r>
      <w:r>
        <w:t xml:space="preserve"> </w:t>
      </w:r>
      <w:r>
        <w:rPr>
          <w:i/>
          <w:iCs/>
        </w:rPr>
        <w:t xml:space="preserve">Fair</w:t>
      </w:r>
      <w:r>
        <w:rPr>
          <w:i/>
          <w:iCs/>
        </w:rPr>
        <w:t xml:space="preserve"> </w:t>
      </w:r>
      <w:r>
        <w:rPr>
          <w:i/>
          <w:iCs/>
        </w:rPr>
        <w:t xml:space="preserve">Enough</w:t>
      </w:r>
      <w:r>
        <w:rPr>
          <w:i/>
          <w:iCs/>
        </w:rPr>
        <w:t xml:space="preserve">?:</w:t>
      </w:r>
      <w:r>
        <w:rPr>
          <w:i/>
          <w:iCs/>
        </w:rPr>
        <w:t xml:space="preserve"> </w:t>
      </w:r>
      <w:r>
        <w:rPr>
          <w:i/>
          <w:iCs/>
        </w:rPr>
        <w:t xml:space="preserve">Support</w:t>
      </w:r>
      <w:r>
        <w:rPr>
          <w:i/>
          <w:iCs/>
        </w:rPr>
        <w:t xml:space="preserve"> </w:t>
      </w:r>
      <w:r>
        <w:rPr>
          <w:i/>
          <w:iCs/>
        </w:rPr>
        <w:t xml:space="preserve">for</w:t>
      </w:r>
      <w:r>
        <w:rPr>
          <w:i/>
          <w:iCs/>
        </w:rPr>
        <w:t xml:space="preserve"> </w:t>
      </w:r>
      <w:r>
        <w:rPr>
          <w:i/>
          <w:iCs/>
        </w:rPr>
        <w:t xml:space="preserve">Redistribution</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Inequality</w:t>
      </w:r>
      <w:r>
        <w:t xml:space="preserve">. 1st ed. Cambridge University Press.</w:t>
      </w:r>
      <w:r>
        <w:t xml:space="preserve"> </w:t>
      </w:r>
      <w:hyperlink r:id="rId145">
        <w:r>
          <w:rPr>
            <w:rStyle w:val="Hyperlink"/>
          </w:rPr>
          <w:t xml:space="preserve">https://doi.org/10.1017/9781009366038</w:t>
        </w:r>
      </w:hyperlink>
      <w:r>
        <w:t xml:space="preserve">.</w:t>
      </w:r>
    </w:p>
    <w:bookmarkEnd w:id="146"/>
    <w:bookmarkStart w:id="148"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47">
        <w:r>
          <w:rPr>
            <w:rStyle w:val="Hyperlink"/>
          </w:rPr>
          <w:t xml:space="preserve">https://doi.org/10.1177/09589287211066469</w:t>
        </w:r>
      </w:hyperlink>
      <w:r>
        <w:t xml:space="preserve">.</w:t>
      </w:r>
    </w:p>
    <w:bookmarkEnd w:id="148"/>
    <w:bookmarkStart w:id="150" w:name="ref-devereux_fake_2019"/>
    <w:p>
      <w:pPr>
        <w:pStyle w:val="Bibliography"/>
      </w:pPr>
      <w:r>
        <w:t xml:space="preserve">Devereux, Eoin, and Martin J. Power. 2019.</w:t>
      </w:r>
      <w:r>
        <w:t xml:space="preserve"> </w:t>
      </w:r>
      <w:r>
        <w:t xml:space="preserve">“Fake News?</w:t>
      </w:r>
      <w:r>
        <w:t xml:space="preserve"> </w:t>
      </w:r>
      <w:r>
        <w:t xml:space="preserve">A</w:t>
      </w:r>
      <w:r>
        <w:t xml:space="preserve"> </w:t>
      </w:r>
      <w:r>
        <w:t xml:space="preserve">Critical Analysis of the</w:t>
      </w:r>
      <w:r>
        <w:t xml:space="preserve"> </w:t>
      </w:r>
      <w:r>
        <w:t xml:space="preserve">‘</w:t>
      </w:r>
      <w:r>
        <w:t xml:space="preserve">Welfare</w:t>
      </w:r>
      <w:r>
        <w:t xml:space="preserve"> </w:t>
      </w:r>
      <w:r>
        <w:t xml:space="preserve">Cheats</w:t>
      </w:r>
      <w:r>
        <w:t xml:space="preserve">,</w:t>
      </w:r>
      <w:r>
        <w:t xml:space="preserve"> </w:t>
      </w:r>
      <w:r>
        <w:rPr>
          <w:i/>
          <w:iCs/>
        </w:rPr>
        <w:t xml:space="preserve">Cheat</w:t>
      </w:r>
      <w:r>
        <w:rPr>
          <w:i/>
          <w:iCs/>
        </w:rPr>
        <w:t xml:space="preserve"> </w:t>
      </w:r>
      <w:r>
        <w:rPr>
          <w:i/>
          <w:iCs/>
        </w:rPr>
        <w:t xml:space="preserve">Us</w:t>
      </w:r>
      <w:r>
        <w:rPr>
          <w:i/>
          <w:iCs/>
        </w:rPr>
        <w:t xml:space="preserve"> </w:t>
      </w:r>
      <w:r>
        <w:rPr>
          <w:i/>
          <w:iCs/>
        </w:rPr>
        <w:t xml:space="preserve">All</w:t>
      </w:r>
      <w:r>
        <w:t xml:space="preserve"> </w:t>
      </w:r>
      <w:r>
        <w:t xml:space="preserve">’</w:t>
      </w:r>
      <w:r>
        <w:t xml:space="preserve"> </w:t>
      </w:r>
      <w:r>
        <w:t xml:space="preserve">Campaign in</w:t>
      </w:r>
      <w:r>
        <w:t xml:space="preserve"> </w:t>
      </w:r>
      <w:r>
        <w:t xml:space="preserve">Ireland</w:t>
      </w:r>
      <w:r>
        <w:t xml:space="preserve">.”</w:t>
      </w:r>
      <w:r>
        <w:t xml:space="preserve"> </w:t>
      </w:r>
      <w:r>
        <w:rPr>
          <w:i/>
          <w:iCs/>
        </w:rPr>
        <w:t xml:space="preserve">Critical Discourse Studies</w:t>
      </w:r>
      <w:r>
        <w:t xml:space="preserve"> </w:t>
      </w:r>
      <w:r>
        <w:t xml:space="preserve">16 (3): 347–62.</w:t>
      </w:r>
      <w:r>
        <w:t xml:space="preserve"> </w:t>
      </w:r>
      <w:hyperlink r:id="rId149">
        <w:r>
          <w:rPr>
            <w:rStyle w:val="Hyperlink"/>
          </w:rPr>
          <w:t xml:space="preserve">https://doi.org/10.1080/17405904.2019.1568898</w:t>
        </w:r>
      </w:hyperlink>
      <w:r>
        <w:t xml:space="preserve">.</w:t>
      </w:r>
    </w:p>
    <w:bookmarkEnd w:id="150"/>
    <w:bookmarkStart w:id="152" w:name="ref-dunaiski_does_2025"/>
    <w:p>
      <w:pPr>
        <w:pStyle w:val="Bibliography"/>
      </w:pPr>
      <w:r>
        <w:t xml:space="preserve">Dunaiski, Maurice, and Janne Tukiainen. 2025.</w:t>
      </w:r>
      <w:r>
        <w:t xml:space="preserve"> </w:t>
      </w:r>
      <w:r>
        <w:t xml:space="preserve">“Does</w:t>
      </w:r>
      <w:r>
        <w:t xml:space="preserve"> </w:t>
      </w:r>
      <w:r>
        <w:t xml:space="preserve">Income</w:t>
      </w:r>
      <w:r>
        <w:t xml:space="preserve"> </w:t>
      </w:r>
      <w:r>
        <w:t xml:space="preserve">Transparency</w:t>
      </w:r>
      <w:r>
        <w:t xml:space="preserve"> </w:t>
      </w:r>
      <w:r>
        <w:t xml:space="preserve">Affect</w:t>
      </w:r>
      <w:r>
        <w:t xml:space="preserve"> </w:t>
      </w:r>
      <w:r>
        <w:t xml:space="preserve">Support</w:t>
      </w:r>
      <w:r>
        <w:t xml:space="preserve"> </w:t>
      </w:r>
      <w:r>
        <w:t xml:space="preserve">for</w:t>
      </w:r>
      <w:r>
        <w:t xml:space="preserve"> </w:t>
      </w:r>
      <w:r>
        <w:t xml:space="preserve">Redistribution</w:t>
      </w:r>
      <w:r>
        <w:t xml:space="preserve">?</w:t>
      </w:r>
      <w:r>
        <w:t xml:space="preserve"> </w:t>
      </w:r>
      <w:r>
        <w:t xml:space="preserve">Evidence</w:t>
      </w:r>
      <w:r>
        <w:t xml:space="preserve"> </w:t>
      </w:r>
      <w:r>
        <w:t xml:space="preserve">from</w:t>
      </w:r>
      <w:r>
        <w:t xml:space="preserve"> </w:t>
      </w:r>
      <w:r>
        <w:t xml:space="preserve">Finland</w:t>
      </w:r>
      <w:r>
        <w:t xml:space="preserve">’s</w:t>
      </w:r>
      <w:r>
        <w:t xml:space="preserve"> </w:t>
      </w:r>
      <w:r>
        <w:t xml:space="preserve">Tax</w:t>
      </w:r>
      <w:r>
        <w:t xml:space="preserve"> </w:t>
      </w:r>
      <w:r>
        <w:t xml:space="preserve">Day</w:t>
      </w:r>
      <w:r>
        <w:t xml:space="preserve">.”</w:t>
      </w:r>
      <w:r>
        <w:t xml:space="preserve"> </w:t>
      </w:r>
      <w:r>
        <w:rPr>
          <w:i/>
          <w:iCs/>
        </w:rPr>
        <w:t xml:space="preserve">The Journal of Politics</w:t>
      </w:r>
      <w:r>
        <w:t xml:space="preserve"> </w:t>
      </w:r>
      <w:r>
        <w:t xml:space="preserve">87 (3): 823–37.</w:t>
      </w:r>
      <w:r>
        <w:t xml:space="preserve"> </w:t>
      </w:r>
      <w:hyperlink r:id="rId151">
        <w:r>
          <w:rPr>
            <w:rStyle w:val="Hyperlink"/>
          </w:rPr>
          <w:t xml:space="preserve">https://doi.org/10.1086/732955</w:t>
        </w:r>
      </w:hyperlink>
      <w:r>
        <w:t xml:space="preserve">.</w:t>
      </w:r>
    </w:p>
    <w:bookmarkEnd w:id="152"/>
    <w:bookmarkStart w:id="154"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53">
        <w:r>
          <w:rPr>
            <w:rStyle w:val="Hyperlink"/>
          </w:rPr>
          <w:t xml:space="preserve">https://doi.org/10.1111/j.1467-9477.2008.00211.x</w:t>
        </w:r>
      </w:hyperlink>
      <w:r>
        <w:t xml:space="preserve">.</w:t>
      </w:r>
    </w:p>
    <w:bookmarkEnd w:id="154"/>
    <w:bookmarkStart w:id="156"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55">
        <w:r>
          <w:rPr>
            <w:rStyle w:val="Hyperlink"/>
          </w:rPr>
          <w:t xml:space="preserve">https://doi.org/10.1177/0958928720978012</w:t>
        </w:r>
      </w:hyperlink>
      <w:r>
        <w:t xml:space="preserve">.</w:t>
      </w:r>
    </w:p>
    <w:bookmarkEnd w:id="156"/>
    <w:bookmarkStart w:id="158"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57">
        <w:r>
          <w:rPr>
            <w:rStyle w:val="Hyperlink"/>
          </w:rPr>
          <w:t xml:space="preserve">https://doi.org/10.1007/s11205-011-9915-5</w:t>
        </w:r>
      </w:hyperlink>
      <w:r>
        <w:t xml:space="preserve">.</w:t>
      </w:r>
    </w:p>
    <w:bookmarkEnd w:id="158"/>
    <w:bookmarkStart w:id="160" w:name="ref-gonnot_cultural_2023"/>
    <w:p>
      <w:pPr>
        <w:pStyle w:val="Bibliography"/>
      </w:pPr>
      <w:r>
        <w:t xml:space="preserve">Gonnot, Jérome, and Federica lo Polito. 2023.</w:t>
      </w:r>
      <w:r>
        <w:t xml:space="preserve"> </w:t>
      </w:r>
      <w:r>
        <w:t xml:space="preserve">“Cultural</w:t>
      </w:r>
      <w:r>
        <w:t xml:space="preserve"> </w:t>
      </w:r>
      <w:r>
        <w:t xml:space="preserve">Transmission</w:t>
      </w:r>
      <w:r>
        <w:t xml:space="preserve"> </w:t>
      </w:r>
      <w:r>
        <w:t xml:space="preserve">and</w:t>
      </w:r>
      <w:r>
        <w:t xml:space="preserve"> </w:t>
      </w:r>
      <w:r>
        <w:t xml:space="preserve">Political</w:t>
      </w:r>
      <w:r>
        <w:t xml:space="preserve"> </w:t>
      </w:r>
      <w:r>
        <w:t xml:space="preserve">Attitudes</w:t>
      </w:r>
      <w:r>
        <w:t xml:space="preserve">:</w:t>
      </w:r>
      <w:r>
        <w:t xml:space="preserve"> </w:t>
      </w:r>
      <w:r>
        <w:t xml:space="preserve">Explaining</w:t>
      </w:r>
      <w:r>
        <w:t xml:space="preserve"> </w:t>
      </w:r>
      <w:r>
        <w:t xml:space="preserve">Differences</w:t>
      </w:r>
      <w:r>
        <w:t xml:space="preserve"> </w:t>
      </w:r>
      <w:r>
        <w:t xml:space="preserve">Between</w:t>
      </w:r>
      <w:r>
        <w:t xml:space="preserve"> </w:t>
      </w:r>
      <w:r>
        <w:t xml:space="preserve">Natives</w:t>
      </w:r>
      <w:r>
        <w:t xml:space="preserve"> </w:t>
      </w:r>
      <w:r>
        <w:t xml:space="preserve">and</w:t>
      </w:r>
      <w:r>
        <w:t xml:space="preserve"> </w:t>
      </w:r>
      <w:r>
        <w:t xml:space="preserve">Immigrants</w:t>
      </w:r>
      <w:r>
        <w:t xml:space="preserve"> </w:t>
      </w:r>
      <w:r>
        <w:t xml:space="preserve">in</w:t>
      </w:r>
      <w:r>
        <w:t xml:space="preserve"> </w:t>
      </w:r>
      <w:r>
        <w:t xml:space="preserve">Western</w:t>
      </w:r>
      <w:r>
        <w:t xml:space="preserve"> </w:t>
      </w:r>
      <w:r>
        <w:t xml:space="preserve">Europe</w:t>
      </w:r>
      <w:r>
        <w:t xml:space="preserve">.”</w:t>
      </w:r>
      <w:r>
        <w:t xml:space="preserve"> </w:t>
      </w:r>
      <w:r>
        <w:t xml:space="preserve">Working {Papers} 2023-12. CEPII research center.</w:t>
      </w:r>
      <w:r>
        <w:t xml:space="preserve"> </w:t>
      </w:r>
      <w:hyperlink r:id="rId159">
        <w:r>
          <w:rPr>
            <w:rStyle w:val="Hyperlink"/>
          </w:rPr>
          <w:t xml:space="preserve">https://doi.org/None</w:t>
        </w:r>
      </w:hyperlink>
      <w:r>
        <w:t xml:space="preserve">.</w:t>
      </w:r>
    </w:p>
    <w:bookmarkEnd w:id="160"/>
    <w:bookmarkStart w:id="162"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61">
        <w:r>
          <w:rPr>
            <w:rStyle w:val="Hyperlink"/>
          </w:rPr>
          <w:t xml:space="preserve">https://doi.org/10.26504/rs176</w:t>
        </w:r>
      </w:hyperlink>
      <w:r>
        <w:t xml:space="preserve">.</w:t>
      </w:r>
    </w:p>
    <w:bookmarkEnd w:id="162"/>
    <w:bookmarkStart w:id="164" w:name="ref-kulin_class_2013"/>
    <w:p>
      <w:pPr>
        <w:pStyle w:val="Bibliography"/>
      </w:pPr>
      <w:r>
        <w:t xml:space="preserve">Kulin, J., and S. Svallfors. 2013.</w:t>
      </w:r>
      <w:r>
        <w:t xml:space="preserve"> </w:t>
      </w:r>
      <w:r>
        <w:t xml:space="preserve">“Class,</w:t>
      </w:r>
      <w:r>
        <w:t xml:space="preserve"> </w:t>
      </w:r>
      <w:r>
        <w:t xml:space="preserve">Values</w:t>
      </w:r>
      <w:r>
        <w:t xml:space="preserve">, and</w:t>
      </w:r>
      <w:r>
        <w:t xml:space="preserve"> </w:t>
      </w:r>
      <w:r>
        <w:t xml:space="preserve">Attitudes</w:t>
      </w:r>
      <w:r>
        <w:t xml:space="preserve"> </w:t>
      </w:r>
      <w:r>
        <w:t xml:space="preserve">Towards</w:t>
      </w:r>
      <w:r>
        <w:t xml:space="preserve"> </w:t>
      </w:r>
      <w:r>
        <w:t xml:space="preserve">Redistribution</w:t>
      </w:r>
      <w:r>
        <w:t xml:space="preserve">:</w:t>
      </w:r>
      <w:r>
        <w:t xml:space="preserve"> </w:t>
      </w:r>
      <w:r>
        <w:t xml:space="preserve">A</w:t>
      </w:r>
      <w:r>
        <w:t xml:space="preserve"> </w:t>
      </w:r>
      <w:r>
        <w:t xml:space="preserve">European</w:t>
      </w:r>
      <w:r>
        <w:t xml:space="preserve"> </w:t>
      </w:r>
      <w:r>
        <w:t xml:space="preserve">Comparison</w:t>
      </w:r>
      <w:r>
        <w:t xml:space="preserve">.”</w:t>
      </w:r>
      <w:r>
        <w:t xml:space="preserve"> </w:t>
      </w:r>
      <w:r>
        <w:rPr>
          <w:i/>
          <w:iCs/>
        </w:rPr>
        <w:t xml:space="preserve">European Sociological Review</w:t>
      </w:r>
      <w:r>
        <w:t xml:space="preserve"> </w:t>
      </w:r>
      <w:r>
        <w:t xml:space="preserve">29 (2): 155–67.</w:t>
      </w:r>
      <w:r>
        <w:t xml:space="preserve"> </w:t>
      </w:r>
      <w:hyperlink r:id="rId163">
        <w:r>
          <w:rPr>
            <w:rStyle w:val="Hyperlink"/>
          </w:rPr>
          <w:t xml:space="preserve">https://doi.org/10.1093/esr/jcr046</w:t>
        </w:r>
      </w:hyperlink>
      <w:r>
        <w:t xml:space="preserve">.</w:t>
      </w:r>
    </w:p>
    <w:bookmarkEnd w:id="164"/>
    <w:bookmarkStart w:id="166"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65">
        <w:r>
          <w:rPr>
            <w:rStyle w:val="Hyperlink"/>
          </w:rPr>
          <w:t xml:space="preserve">https://doi.org/10.1111/1468-4446.12747</w:t>
        </w:r>
      </w:hyperlink>
      <w:r>
        <w:t xml:space="preserve">.</w:t>
      </w:r>
    </w:p>
    <w:bookmarkEnd w:id="166"/>
    <w:bookmarkStart w:id="168"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67">
        <w:r>
          <w:rPr>
            <w:rStyle w:val="Hyperlink"/>
          </w:rPr>
          <w:t xml:space="preserve">https://doi.org/10.1017/psrm.2023.57</w:t>
        </w:r>
      </w:hyperlink>
      <w:r>
        <w:t xml:space="preserve">.</w:t>
      </w:r>
    </w:p>
    <w:bookmarkEnd w:id="168"/>
    <w:bookmarkStart w:id="169"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69"/>
    <w:bookmarkStart w:id="171" w:name="ref-munoz_unexpected_2020"/>
    <w:p>
      <w:pPr>
        <w:pStyle w:val="Bibliography"/>
      </w:pPr>
      <w:r>
        <w:t xml:space="preserve">Muñoz, Jordi, Albert Falcó-Gimeno, and Enrique Hernández. 2020.</w:t>
      </w:r>
      <w:r>
        <w:t xml:space="preserve"> </w:t>
      </w:r>
      <w:r>
        <w:t xml:space="preserve">“Unexpected</w:t>
      </w:r>
      <w:r>
        <w:t xml:space="preserve"> </w:t>
      </w:r>
      <w:r>
        <w:t xml:space="preserve">Event</w:t>
      </w:r>
      <w:r>
        <w:t xml:space="preserve"> </w:t>
      </w:r>
      <w:r>
        <w:t xml:space="preserve">During</w:t>
      </w:r>
      <w:r>
        <w:t xml:space="preserve"> </w:t>
      </w:r>
      <w:r>
        <w:t xml:space="preserve">Survey</w:t>
      </w:r>
      <w:r>
        <w:t xml:space="preserve"> </w:t>
      </w:r>
      <w:r>
        <w:t xml:space="preserve">Design</w:t>
      </w:r>
      <w:r>
        <w:t xml:space="preserve">:</w:t>
      </w:r>
      <w:r>
        <w:t xml:space="preserve"> </w:t>
      </w:r>
      <w:r>
        <w:t xml:space="preserve">Promise</w:t>
      </w:r>
      <w:r>
        <w:t xml:space="preserve"> </w:t>
      </w:r>
      <w:r>
        <w:t xml:space="preserve">and</w:t>
      </w:r>
      <w:r>
        <w:t xml:space="preserve"> </w:t>
      </w:r>
      <w:r>
        <w:t xml:space="preserve">Pitfalls</w:t>
      </w:r>
      <w:r>
        <w:t xml:space="preserve"> </w:t>
      </w:r>
      <w:r>
        <w:t xml:space="preserve">for</w:t>
      </w:r>
      <w:r>
        <w:t xml:space="preserve"> </w:t>
      </w:r>
      <w:r>
        <w:t xml:space="preserve">Causal</w:t>
      </w:r>
      <w:r>
        <w:t xml:space="preserve"> </w:t>
      </w:r>
      <w:r>
        <w:t xml:space="preserve">Inference</w:t>
      </w:r>
      <w:r>
        <w:t xml:space="preserve">.”</w:t>
      </w:r>
      <w:r>
        <w:t xml:space="preserve"> </w:t>
      </w:r>
      <w:r>
        <w:rPr>
          <w:i/>
          <w:iCs/>
        </w:rPr>
        <w:t xml:space="preserve">Political Analysis</w:t>
      </w:r>
      <w:r>
        <w:t xml:space="preserve"> </w:t>
      </w:r>
      <w:r>
        <w:t xml:space="preserve">28 (2): 186–206.</w:t>
      </w:r>
      <w:r>
        <w:t xml:space="preserve"> </w:t>
      </w:r>
      <w:hyperlink r:id="rId170">
        <w:r>
          <w:rPr>
            <w:rStyle w:val="Hyperlink"/>
          </w:rPr>
          <w:t xml:space="preserve">https://doi.org/10.1017/pan.2019.27</w:t>
        </w:r>
      </w:hyperlink>
      <w:r>
        <w:t xml:space="preserve">.</w:t>
      </w:r>
    </w:p>
    <w:bookmarkEnd w:id="171"/>
    <w:bookmarkStart w:id="173"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72">
        <w:r>
          <w:rPr>
            <w:rStyle w:val="Hyperlink"/>
          </w:rPr>
          <w:t xml:space="preserve">https://doi.org/10.1177/0268580906061379</w:t>
        </w:r>
      </w:hyperlink>
      <w:r>
        <w:t xml:space="preserve">.</w:t>
      </w:r>
    </w:p>
    <w:bookmarkEnd w:id="173"/>
    <w:bookmarkStart w:id="174" w:name="ref-van_oorschot_social_2017"/>
    <w:p>
      <w:pPr>
        <w:pStyle w:val="Bibliography"/>
      </w:pPr>
      <w:r>
        <w:t xml:space="preserve">Oorschot, Wim van, and Femke Roosma. 2017.</w:t>
      </w:r>
      <w:r>
        <w:t xml:space="preserve"> </w:t>
      </w:r>
      <w:r>
        <w:t xml:space="preserve">“The Social Legitimacy of Differently Targeted Benefits.”</w:t>
      </w:r>
    </w:p>
    <w:bookmarkEnd w:id="174"/>
    <w:bookmarkStart w:id="176" w:name="ref-power_framing_2022"/>
    <w:p>
      <w:pPr>
        <w:pStyle w:val="Bibliography"/>
      </w:pPr>
      <w:r>
        <w:t xml:space="preserve">Power, Martin J., Eoin Devereux, and Majka Ryan. 2022.</w:t>
      </w:r>
      <w:r>
        <w:t xml:space="preserve"> </w:t>
      </w:r>
      <w:r>
        <w:t xml:space="preserve">“Framing and</w:t>
      </w:r>
      <w:r>
        <w:t xml:space="preserve"> </w:t>
      </w:r>
      <w:r>
        <w:t xml:space="preserve">Shaming</w:t>
      </w:r>
      <w:r>
        <w:t xml:space="preserve">:</w:t>
      </w:r>
      <w:r>
        <w:t xml:space="preserve"> </w:t>
      </w:r>
      <w:r>
        <w:t xml:space="preserve">The</w:t>
      </w:r>
      <w:r>
        <w:t xml:space="preserve"> </w:t>
      </w:r>
      <w:r>
        <w:t xml:space="preserve">2017</w:t>
      </w:r>
      <w:r>
        <w:t xml:space="preserve"> </w:t>
      </w:r>
      <w:r>
        <w:t xml:space="preserve">Welfare</w:t>
      </w:r>
      <w:r>
        <w:t xml:space="preserve"> </w:t>
      </w:r>
      <w:r>
        <w:t xml:space="preserve">Cheats</w:t>
      </w:r>
      <w:r>
        <w:t xml:space="preserve">,</w:t>
      </w:r>
      <w:r>
        <w:t xml:space="preserve"> </w:t>
      </w:r>
      <w:r>
        <w:t xml:space="preserve">Cheat</w:t>
      </w:r>
      <w:r>
        <w:t xml:space="preserve"> </w:t>
      </w:r>
      <w:r>
        <w:t xml:space="preserve">Us</w:t>
      </w:r>
      <w:r>
        <w:t xml:space="preserve"> </w:t>
      </w:r>
      <w:r>
        <w:t xml:space="preserve">All</w:t>
      </w:r>
      <w:r>
        <w:t xml:space="preserve"> </w:t>
      </w:r>
      <w:r>
        <w:t xml:space="preserve">Campaign</w:t>
      </w:r>
      <w:r>
        <w:t xml:space="preserve">.”</w:t>
      </w:r>
      <w:r>
        <w:t xml:space="preserve"> </w:t>
      </w:r>
      <w:r>
        <w:rPr>
          <w:i/>
          <w:iCs/>
        </w:rPr>
        <w:t xml:space="preserve">Social Policy and Society</w:t>
      </w:r>
      <w:r>
        <w:t xml:space="preserve"> </w:t>
      </w:r>
      <w:r>
        <w:t xml:space="preserve">21 (4): 646–56.</w:t>
      </w:r>
      <w:r>
        <w:t xml:space="preserve"> </w:t>
      </w:r>
      <w:hyperlink r:id="rId175">
        <w:r>
          <w:rPr>
            <w:rStyle w:val="Hyperlink"/>
          </w:rPr>
          <w:t xml:space="preserve">https://doi.org/10.1017/S1474746422000082</w:t>
        </w:r>
      </w:hyperlink>
      <w:r>
        <w:t xml:space="preserve">.</w:t>
      </w:r>
    </w:p>
    <w:bookmarkEnd w:id="176"/>
    <w:bookmarkStart w:id="178" w:name="ref-roantree_poverty_2025"/>
    <w:p>
      <w:pPr>
        <w:pStyle w:val="Bibliography"/>
      </w:pPr>
      <w:r>
        <w:t xml:space="preserve">Roantree, Barra, Helen Russell, Anousheh Alamir, Míde Griffin, Bertrand Maître, and Tara Mitchell. 2025.</w:t>
      </w:r>
      <w:r>
        <w:t xml:space="preserve"> </w:t>
      </w:r>
      <w:r>
        <w:t xml:space="preserve">“Poverty, Income Inequality and Living Standards in</w:t>
      </w:r>
      <w:r>
        <w:t xml:space="preserve"> </w:t>
      </w:r>
      <w:r>
        <w:t xml:space="preserve">Ireland</w:t>
      </w:r>
      <w:r>
        <w:t xml:space="preserve">:</w:t>
      </w:r>
      <w:r>
        <w:t xml:space="preserve"> </w:t>
      </w:r>
      <w:r>
        <w:t xml:space="preserve">Fifth</w:t>
      </w:r>
      <w:r>
        <w:t xml:space="preserve"> </w:t>
      </w:r>
      <w:r>
        <w:t xml:space="preserve">Annual Report.”</w:t>
      </w:r>
      <w:r>
        <w:t xml:space="preserve"> </w:t>
      </w:r>
      <w:r>
        <w:t xml:space="preserve">ESRI.</w:t>
      </w:r>
      <w:r>
        <w:t xml:space="preserve"> </w:t>
      </w:r>
      <w:hyperlink r:id="rId177">
        <w:r>
          <w:rPr>
            <w:rStyle w:val="Hyperlink"/>
          </w:rPr>
          <w:t xml:space="preserve">https://doi.org/10.26504/jr14</w:t>
        </w:r>
      </w:hyperlink>
      <w:r>
        <w:t xml:space="preserve">.</w:t>
      </w:r>
    </w:p>
    <w:bookmarkEnd w:id="178"/>
    <w:bookmarkStart w:id="180" w:name="ref-rosset_unevenly_2025"/>
    <w:p>
      <w:pPr>
        <w:pStyle w:val="Bibliography"/>
      </w:pPr>
      <w:r>
        <w:t xml:space="preserve">Rosset, Jan, Jérémie Poltier, and Jonas Pontusson. 2025.</w:t>
      </w:r>
      <w:r>
        <w:t xml:space="preserve"> </w:t>
      </w:r>
      <w:r>
        <w:t xml:space="preserve">“Unevenly</w:t>
      </w:r>
      <w:r>
        <w:t xml:space="preserve"> </w:t>
      </w:r>
      <w:r>
        <w:t xml:space="preserve">Unequal</w:t>
      </w:r>
      <w:r>
        <w:t xml:space="preserve"> </w:t>
      </w:r>
      <w:r>
        <w:t xml:space="preserve">Responsiveness</w:t>
      </w:r>
      <w:r>
        <w:t xml:space="preserve">:</w:t>
      </w:r>
      <w:r>
        <w:t xml:space="preserve"> </w:t>
      </w:r>
      <w:r>
        <w:t xml:space="preserve">Public</w:t>
      </w:r>
      <w:r>
        <w:t xml:space="preserve"> </w:t>
      </w:r>
      <w:r>
        <w:t xml:space="preserve">Opinion</w:t>
      </w:r>
      <w:r>
        <w:t xml:space="preserve"> </w:t>
      </w:r>
      <w:r>
        <w:t xml:space="preserve">and</w:t>
      </w:r>
      <w:r>
        <w:t xml:space="preserve"> </w:t>
      </w:r>
      <w:r>
        <w:t xml:space="preserve">Redistributive</w:t>
      </w:r>
      <w:r>
        <w:t xml:space="preserve"> </w:t>
      </w:r>
      <w:r>
        <w:t xml:space="preserve">Policy</w:t>
      </w:r>
      <w:r>
        <w:t xml:space="preserve"> </w:t>
      </w:r>
      <w:r>
        <w:t xml:space="preserve">Shifts</w:t>
      </w:r>
      <w:r>
        <w:t xml:space="preserve"> </w:t>
      </w:r>
      <w:r>
        <w:t xml:space="preserve">in</w:t>
      </w:r>
      <w:r>
        <w:t xml:space="preserve"> </w:t>
      </w:r>
      <w:r>
        <w:t xml:space="preserve">Western</w:t>
      </w:r>
      <w:r>
        <w:t xml:space="preserve"> </w:t>
      </w:r>
      <w:r>
        <w:t xml:space="preserve">Europe</w:t>
      </w:r>
      <w:r>
        <w:t xml:space="preserve"> </w:t>
      </w:r>
      <w:r>
        <w:t xml:space="preserve">Since</w:t>
      </w:r>
      <w:r>
        <w:t xml:space="preserve"> </w:t>
      </w:r>
      <w:r>
        <w:t xml:space="preserve">2008.”</w:t>
      </w:r>
      <w:r>
        <w:t xml:space="preserve"> </w:t>
      </w:r>
      <w:r>
        <w:rPr>
          <w:i/>
          <w:iCs/>
        </w:rPr>
        <w:t xml:space="preserve">Politics &amp; Society</w:t>
      </w:r>
      <w:r>
        <w:t xml:space="preserve"> </w:t>
      </w:r>
      <w:r>
        <w:t xml:space="preserve">53 (2): 243–73.</w:t>
      </w:r>
      <w:r>
        <w:t xml:space="preserve"> </w:t>
      </w:r>
      <w:hyperlink r:id="rId179">
        <w:r>
          <w:rPr>
            <w:rStyle w:val="Hyperlink"/>
          </w:rPr>
          <w:t xml:space="preserve">https://doi.org/10.1177/00323292241283293</w:t>
        </w:r>
      </w:hyperlink>
      <w:r>
        <w:t xml:space="preserve">.</w:t>
      </w:r>
    </w:p>
    <w:bookmarkEnd w:id="180"/>
    <w:bookmarkStart w:id="182"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81">
        <w:r>
          <w:rPr>
            <w:rStyle w:val="Hyperlink"/>
          </w:rPr>
          <w:t xml:space="preserve">https://doi.org/10.3390/soc9030050</w:t>
        </w:r>
      </w:hyperlink>
      <w:r>
        <w:t xml:space="preserve">.</w:t>
      </w:r>
    </w:p>
    <w:bookmarkEnd w:id="182"/>
    <w:bookmarkStart w:id="184"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83">
        <w:r>
          <w:rPr>
            <w:rStyle w:val="Hyperlink"/>
          </w:rPr>
          <w:t xml:space="preserve">https://doi.org/10.11126/stanford/9780804782524.001.0001</w:t>
        </w:r>
      </w:hyperlink>
      <w:r>
        <w:t xml:space="preserve">.</w:t>
      </w:r>
    </w:p>
    <w:bookmarkEnd w:id="184"/>
    <w:bookmarkStart w:id="186"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85">
        <w:r>
          <w:rPr>
            <w:rStyle w:val="Hyperlink"/>
          </w:rPr>
          <w:t xml:space="preserve">https://scholar.google.com/scholar?cluster=14780777134980176311&amp;hl=en&amp;oi=scholarr</w:t>
        </w:r>
      </w:hyperlink>
      <w:r>
        <w:t xml:space="preserve">.</w:t>
      </w:r>
    </w:p>
    <w:bookmarkEnd w:id="186"/>
    <w:bookmarkStart w:id="188"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87">
        <w:r>
          <w:rPr>
            <w:rStyle w:val="Hyperlink"/>
          </w:rPr>
          <w:t xml:space="preserve">https://doi.org/10.1057/s41269-022-00260-9</w:t>
        </w:r>
      </w:hyperlink>
      <w:r>
        <w:t xml:space="preserve">.</w:t>
      </w:r>
    </w:p>
    <w:bookmarkEnd w:id="188"/>
    <w:bookmarkEnd w:id="189"/>
    <w:bookmarkEnd w:id="190"/>
    <w:sectPr w:rsidR="00A53471" w:rsidSect="00DD26C5">
      <w:headerReference r:id="rId10" w:type="even"/>
      <w:headerReference r:id="rId9"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1E45830C" w:rsidR="009F4E1E" w:rsidRPr="00DD26C5" w:rsidRDefault="009F4E1E" w:rsidP="004A7C10">
    <w:pPr>
      <w:pStyle w:val="Header"/>
      <w:rPr>
        <w:color w:val="808080" w:themeColor="background1" w:themeShade="80"/>
        <w:sz w:val="21"/>
        <w:szCs w:val="21"/>
      </w:rPr>
    </w:pPr>
    <w:r w:rsidRPr="00DD26C5">
      <w:rPr>
        <w:rStyle w:val="PageNumber"/>
        <w:color w:val="808080" w:themeColor="background1" w:themeShade="80"/>
        <w:sz w:val="21"/>
        <w:szCs w:val="21"/>
      </w:rPr>
      <w:fldChar w:fldCharType="begin"/>
    </w:r>
    <w:r w:rsidRPr="00DD26C5">
      <w:rPr>
        <w:rStyle w:val="PageNumber"/>
        <w:color w:val="808080" w:themeColor="background1" w:themeShade="80"/>
        <w:sz w:val="21"/>
        <w:szCs w:val="21"/>
      </w:rPr>
      <w:instrText xml:space="preserve"> PAGE </w:instrText>
    </w:r>
    <w:r w:rsidRPr="00DD26C5">
      <w:rPr>
        <w:rStyle w:val="PageNumber"/>
        <w:color w:val="808080" w:themeColor="background1" w:themeShade="80"/>
        <w:sz w:val="21"/>
        <w:szCs w:val="21"/>
      </w:rPr>
      <w:fldChar w:fldCharType="separate"/>
    </w:r>
    <w:r w:rsidRPr="00DD26C5">
      <w:rPr>
        <w:rStyle w:val="PageNumber"/>
        <w:color w:val="808080" w:themeColor="background1" w:themeShade="80"/>
        <w:sz w:val="21"/>
        <w:szCs w:val="21"/>
      </w:rPr>
      <w:t>2</w:t>
    </w:r>
    <w:r w:rsidRPr="00DD26C5">
      <w:rPr>
        <w:rStyle w:val="PageNumber"/>
        <w:color w:val="808080" w:themeColor="background1" w:themeShade="80"/>
        <w:sz w:val="21"/>
        <w:szCs w:val="21"/>
      </w:rPr>
      <w:fldChar w:fldCharType="end"/>
    </w:r>
    <w:r w:rsidRPr="00DD26C5">
      <w:rPr>
        <w:rStyle w:val="PageNumber"/>
        <w:color w:val="808080" w:themeColor="background1" w:themeShade="80"/>
        <w:sz w:val="21"/>
        <w:szCs w:val="21"/>
      </w:rPr>
      <w:t xml:space="preserve"> </w:t>
    </w:r>
    <w:r w:rsidRPr="00DD26C5">
      <w:rPr>
        <w:color w:val="808080" w:themeColor="background1" w:themeShade="80"/>
        <w:sz w:val="21"/>
        <w:szCs w:val="21"/>
      </w:rPr>
      <w:t xml:space="preserve">| </w:t>
    </w:r>
    <w:r w:rsidR="006C6E43" w:rsidRPr="00DD26C5">
      <w:rPr>
        <w:color w:val="808080" w:themeColor="background1" w:themeShade="80"/>
        <w:sz w:val="21"/>
        <w:szCs w:val="21"/>
      </w:rPr>
      <w:fldChar w:fldCharType="begin"/>
    </w:r>
    <w:r w:rsidR="006C6E43" w:rsidRPr="00DD26C5">
      <w:rPr>
        <w:color w:val="808080" w:themeColor="background1" w:themeShade="80"/>
        <w:sz w:val="21"/>
        <w:szCs w:val="21"/>
      </w:rPr>
      <w:instrText xml:space="preserve"> STYLEREF  Title  \* MERGEFORMAT </w:instrText>
    </w:r>
    <w:r w:rsidR="006C6E43" w:rsidRPr="00DD26C5">
      <w:rPr>
        <w:color w:val="808080" w:themeColor="background1" w:themeShade="80"/>
        <w:sz w:val="21"/>
        <w:szCs w:val="21"/>
      </w:rPr>
      <w:fldChar w:fldCharType="separate"/>
    </w:r>
    <w:r w:rsidR="00DD26C5">
      <w:rPr>
        <w:noProof/>
        <w:color w:val="808080" w:themeColor="background1" w:themeShade="80"/>
        <w:sz w:val="21"/>
        <w:szCs w:val="21"/>
      </w:rPr>
      <w:t>Title</w:t>
    </w:r>
    <w:r w:rsidR="006C6E43" w:rsidRPr="00DD26C5">
      <w:rPr>
        <w:noProof/>
        <w:color w:val="808080" w:themeColor="background1" w:themeShade="80"/>
        <w:sz w:val="21"/>
        <w:szCs w:val="21"/>
      </w:rPr>
      <w:fldChar w:fldCharType="end"/>
    </w:r>
    <w:r w:rsidRPr="00DD26C5">
      <w:rPr>
        <w:color w:val="808080" w:themeColor="background1" w:themeShade="80"/>
        <w:sz w:val="21"/>
        <w:szCs w:val="21"/>
      </w:rPr>
      <w:fldChar w:fldCharType="begin"/>
    </w:r>
    <w:r w:rsidRPr="00DD26C5">
      <w:rPr>
        <w:color w:val="808080" w:themeColor="background1" w:themeShade="80"/>
        <w:sz w:val="21"/>
        <w:szCs w:val="21"/>
      </w:rPr>
      <w:instrText xml:space="preserve"> TITLE   \* MERGEFORMAT </w:instrText>
    </w:r>
    <w:r w:rsidRPr="00DD26C5">
      <w:rPr>
        <w:color w:val="808080" w:themeColor="background1" w:themeShade="80"/>
        <w:sz w:val="21"/>
        <w:szCs w:val="21"/>
      </w:rPr>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66F5" w14:textId="3E3FDD1C" w:rsidR="009F4E1E" w:rsidRDefault="006C6E43" w:rsidP="005A42F7">
    <w:pPr>
      <w:pStyle w:val="Header"/>
      <w:jc w:val="right"/>
    </w:pPr>
    <w:r w:rsidRPr="00770BF7">
      <w:rPr>
        <w:color w:val="808080" w:themeColor="background1" w:themeShade="80"/>
      </w:rPr>
      <w:fldChar w:fldCharType="begin"/>
    </w:r>
    <w:r w:rsidRPr="00770BF7">
      <w:rPr>
        <w:color w:val="808080" w:themeColor="background1" w:themeShade="80"/>
      </w:rPr>
      <w:instrText xml:space="preserve"> STYLEREF  "Heading 1"  \* MERGEFORMAT </w:instrText>
    </w:r>
    <w:r w:rsidRPr="00770BF7">
      <w:rPr>
        <w:color w:val="808080" w:themeColor="background1" w:themeShade="80"/>
      </w:rPr>
      <w:fldChar w:fldCharType="separate"/>
    </w:r>
    <w:r w:rsidR="00196D98" w:rsidRPr="00196D98">
      <w:rPr>
        <w:noProof/>
        <w:color w:val="808080" w:themeColor="background1" w:themeShade="80"/>
        <w:lang w:val="en-GB"/>
      </w:rPr>
      <w:t>Heading 1</w:t>
    </w:r>
    <w:r w:rsidRPr="00770BF7">
      <w:rPr>
        <w:noProof/>
        <w:color w:val="808080" w:themeColor="background1" w:themeShade="80"/>
      </w:rPr>
      <w:fldChar w:fldCharType="end"/>
    </w:r>
    <w:r w:rsidR="00DD26C5">
      <w:rPr>
        <w:noProof/>
      </w:rPr>
      <w:t xml:space="preserve"> | </w:t>
    </w:r>
    <w:r w:rsidR="00DD26C5" w:rsidRPr="00DD26C5">
      <w:rPr>
        <w:color w:val="000000" w:themeColor="text1"/>
      </w:rPr>
      <w:fldChar w:fldCharType="begin"/>
    </w:r>
    <w:r w:rsidR="00DD26C5" w:rsidRPr="00DD26C5">
      <w:rPr>
        <w:color w:val="000000" w:themeColor="text1"/>
      </w:rPr>
      <w:instrText xml:space="preserve"> PAGE </w:instrText>
    </w:r>
    <w:r w:rsidR="00DD26C5" w:rsidRPr="00DD26C5">
      <w:rPr>
        <w:color w:val="000000" w:themeColor="text1"/>
      </w:rPr>
      <w:fldChar w:fldCharType="separate"/>
    </w:r>
    <w:r w:rsidR="00DD26C5" w:rsidRPr="00DD26C5">
      <w:rPr>
        <w:color w:val="000000" w:themeColor="text1"/>
      </w:rPr>
      <w:t>2</w:t>
    </w:r>
    <w:r w:rsidR="00DD26C5" w:rsidRPr="00DD26C5">
      <w:rPr>
        <w:color w:val="000000" w:themeColor="text1"/>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98FEEF8E"/>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FCCCE970"/>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80F81090"/>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8A988722"/>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CEC2A5EE"/>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B72AC36"/>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7062F59"/>
    <w:multiLevelType w:val="hybridMultilevel"/>
    <w:tmpl w:val="802208B4"/>
    <w:lvl w:ilvl="0" w:tplc="0809000D">
      <w:start w:val="1"/>
      <w:numFmt w:val="bullet"/>
      <w:lvlText w:val=""/>
      <w:lvlJc w:val="left"/>
      <w:pPr>
        <w:ind w:hanging="360" w:left="1211"/>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13C76919"/>
    <w:multiLevelType w:val="hybridMultilevel"/>
    <w:tmpl w:val="7FA2EBDC"/>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8">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9">
    <w:nsid w:val="1B1931A8"/>
    <w:multiLevelType w:val="hybridMultilevel"/>
    <w:tmpl w:val="8C82F902"/>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0">
    <w:nsid w:val="2E203A0E"/>
    <w:multiLevelType w:val="multilevel"/>
    <w:tmpl w:val="E64ECADE"/>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1">
    <w:nsid w:val="3AE476AC"/>
    <w:multiLevelType w:val="hybridMultilevel"/>
    <w:tmpl w:val="061A5958"/>
    <w:lvl w:ilvl="0" w:tplc="08090001">
      <w:start w:val="1"/>
      <w:numFmt w:val="bullet"/>
      <w:lvlText w:val=""/>
      <w:lvlJc w:val="left"/>
      <w:pPr>
        <w:ind w:hanging="360" w:left="1571"/>
      </w:pPr>
      <w:rPr>
        <w:rFonts w:ascii="Symbol" w:hAnsi="Symbol" w:hint="default"/>
      </w:rPr>
    </w:lvl>
    <w:lvl w:ilvl="1" w:tentative="1" w:tplc="FFFFFFFF">
      <w:start w:val="1"/>
      <w:numFmt w:val="bullet"/>
      <w:lvlText w:val="o"/>
      <w:lvlJc w:val="left"/>
      <w:pPr>
        <w:ind w:hanging="360" w:left="2291"/>
      </w:pPr>
      <w:rPr>
        <w:rFonts w:ascii="Courier New" w:cs="Courier New" w:hAnsi="Courier New" w:hint="default"/>
      </w:rPr>
    </w:lvl>
    <w:lvl w:ilvl="2" w:tentative="1" w:tplc="FFFFFFFF">
      <w:start w:val="1"/>
      <w:numFmt w:val="bullet"/>
      <w:lvlText w:val=""/>
      <w:lvlJc w:val="left"/>
      <w:pPr>
        <w:ind w:hanging="360" w:left="3011"/>
      </w:pPr>
      <w:rPr>
        <w:rFonts w:ascii="Wingdings" w:hAnsi="Wingdings" w:hint="default"/>
      </w:rPr>
    </w:lvl>
    <w:lvl w:ilvl="3" w:tentative="1" w:tplc="FFFFFFFF">
      <w:start w:val="1"/>
      <w:numFmt w:val="bullet"/>
      <w:lvlText w:val=""/>
      <w:lvlJc w:val="left"/>
      <w:pPr>
        <w:ind w:hanging="360" w:left="3731"/>
      </w:pPr>
      <w:rPr>
        <w:rFonts w:ascii="Symbol" w:hAnsi="Symbol" w:hint="default"/>
      </w:rPr>
    </w:lvl>
    <w:lvl w:ilvl="4" w:tentative="1" w:tplc="FFFFFFFF">
      <w:start w:val="1"/>
      <w:numFmt w:val="bullet"/>
      <w:lvlText w:val="o"/>
      <w:lvlJc w:val="left"/>
      <w:pPr>
        <w:ind w:hanging="360" w:left="4451"/>
      </w:pPr>
      <w:rPr>
        <w:rFonts w:ascii="Courier New" w:cs="Courier New" w:hAnsi="Courier New" w:hint="default"/>
      </w:rPr>
    </w:lvl>
    <w:lvl w:ilvl="5" w:tentative="1" w:tplc="FFFFFFFF">
      <w:start w:val="1"/>
      <w:numFmt w:val="bullet"/>
      <w:lvlText w:val=""/>
      <w:lvlJc w:val="left"/>
      <w:pPr>
        <w:ind w:hanging="360" w:left="5171"/>
      </w:pPr>
      <w:rPr>
        <w:rFonts w:ascii="Wingdings" w:hAnsi="Wingdings" w:hint="default"/>
      </w:rPr>
    </w:lvl>
    <w:lvl w:ilvl="6" w:tentative="1" w:tplc="FFFFFFFF">
      <w:start w:val="1"/>
      <w:numFmt w:val="bullet"/>
      <w:lvlText w:val=""/>
      <w:lvlJc w:val="left"/>
      <w:pPr>
        <w:ind w:hanging="360" w:left="5891"/>
      </w:pPr>
      <w:rPr>
        <w:rFonts w:ascii="Symbol" w:hAnsi="Symbol" w:hint="default"/>
      </w:rPr>
    </w:lvl>
    <w:lvl w:ilvl="7" w:tentative="1" w:tplc="FFFFFFFF">
      <w:start w:val="1"/>
      <w:numFmt w:val="bullet"/>
      <w:lvlText w:val="o"/>
      <w:lvlJc w:val="left"/>
      <w:pPr>
        <w:ind w:hanging="360" w:left="6611"/>
      </w:pPr>
      <w:rPr>
        <w:rFonts w:ascii="Courier New" w:cs="Courier New" w:hAnsi="Courier New" w:hint="default"/>
      </w:rPr>
    </w:lvl>
    <w:lvl w:ilvl="8" w:tentative="1" w:tplc="FFFFFFFF">
      <w:start w:val="1"/>
      <w:numFmt w:val="bullet"/>
      <w:lvlText w:val=""/>
      <w:lvlJc w:val="left"/>
      <w:pPr>
        <w:ind w:hanging="360" w:left="7331"/>
      </w:pPr>
      <w:rPr>
        <w:rFonts w:ascii="Wingdings" w:hAnsi="Wingdings" w:hint="default"/>
      </w:rPr>
    </w:lvl>
  </w:abstractNum>
  <w:abstractNum w15:restartNumberingAfterBreak="0" w:abstractNumId="12">
    <w:nsid w:val="42C138E4"/>
    <w:multiLevelType w:val="multilevel"/>
    <w:tmpl w:val="A7C48274"/>
    <w:styleLink w:val="CurrentList1"/>
    <w:lvl w:ilvl="0">
      <w:start w:val="1"/>
      <w:numFmt w:val="bullet"/>
      <w:lvlText w:val=""/>
      <w:lvlJc w:val="left"/>
      <w:pPr>
        <w:tabs>
          <w:tab w:pos="851" w:val="num"/>
        </w:tabs>
        <w:ind w:hanging="283" w:left="1134"/>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3">
    <w:nsid w:val="48C57CD0"/>
    <w:multiLevelType w:val="hybridMultilevel"/>
    <w:tmpl w:val="30E0820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4">
    <w:nsid w:val="54A9179F"/>
    <w:multiLevelType w:val="hybridMultilevel"/>
    <w:tmpl w:val="A7C48274"/>
    <w:lvl w:ilvl="0" w:tplc="A588F0B8">
      <w:start w:val="1"/>
      <w:numFmt w:val="bullet"/>
      <w:pStyle w:val="ListBullet"/>
      <w:lvlText w:val=""/>
      <w:lvlJc w:val="left"/>
      <w:pPr>
        <w:tabs>
          <w:tab w:pos="851" w:val="num"/>
        </w:tabs>
        <w:ind w:hanging="283" w:left="1134"/>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5D6A0705"/>
    <w:multiLevelType w:val="hybridMultilevel"/>
    <w:tmpl w:val="DB6A1B7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6">
    <w:nsid w:val="5FFC0AAC"/>
    <w:multiLevelType w:val="hybridMultilevel"/>
    <w:tmpl w:val="199E13BA"/>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17">
    <w:nsid w:val="605B4A17"/>
    <w:multiLevelType w:val="hybridMultilevel"/>
    <w:tmpl w:val="4AB8F422"/>
    <w:lvl w:ilvl="0" w:tplc="0809000D">
      <w:start w:val="1"/>
      <w:numFmt w:val="bullet"/>
      <w:lvlText w:val=""/>
      <w:lvlJc w:val="left"/>
      <w:pPr>
        <w:ind w:hanging="360" w:left="1571"/>
      </w:pPr>
      <w:rPr>
        <w:rFonts w:ascii="Wingdings" w:hAnsi="Wingdings"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8">
    <w:nsid w:val="71162658"/>
    <w:multiLevelType w:val="multilevel"/>
    <w:tmpl w:val="4AB8F422"/>
    <w:styleLink w:val="CurrentList2"/>
    <w:lvl w:ilvl="0">
      <w:start w:val="1"/>
      <w:numFmt w:val="bullet"/>
      <w:lvlText w:val=""/>
      <w:lvlJc w:val="left"/>
      <w:pPr>
        <w:ind w:hanging="360" w:left="1571"/>
      </w:pPr>
      <w:rPr>
        <w:rFonts w:ascii="Wingdings" w:hAnsi="Wingdings"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15:restartNumberingAfterBreak="0" w:abstractNumId="19">
    <w:nsid w:val="7B5660BD"/>
    <w:multiLevelType w:val="hybridMultilevel"/>
    <w:tmpl w:val="0C3E139E"/>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20">
    <w:nsid w:val="7F604E2A"/>
    <w:multiLevelType w:val="multilevel"/>
    <w:tmpl w:val="8C82F902"/>
    <w:styleLink w:val="CurrentList4"/>
    <w:lvl w:ilvl="0">
      <w:start w:val="1"/>
      <w:numFmt w:val="bullet"/>
      <w:lvlText w:val=""/>
      <w:lvlJc w:val="left"/>
      <w:pPr>
        <w:ind w:hanging="360" w:left="1571"/>
      </w:pPr>
      <w:rPr>
        <w:rFonts w:ascii="Symbol" w:hAnsi="Symbol"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8"/>
  </w:num>
  <w:num w16cid:durableId="885683414" w:numId="2">
    <w:abstractNumId w:val="7"/>
  </w:num>
  <w:num w16cid:durableId="1552115780" w:numId="3">
    <w:abstractNumId w:val="5"/>
  </w:num>
  <w:num w16cid:durableId="206920434" w:numId="4">
    <w:abstractNumId w:val="13"/>
  </w:num>
  <w:num w16cid:durableId="1063601860" w:numId="5">
    <w:abstractNumId w:val="3"/>
  </w:num>
  <w:num w16cid:durableId="1652518238" w:numId="6">
    <w:abstractNumId w:val="2"/>
  </w:num>
  <w:num w16cid:durableId="1406950695" w:numId="7">
    <w:abstractNumId w:val="15"/>
  </w:num>
  <w:num w16cid:durableId="1990359844" w:numId="8">
    <w:abstractNumId w:val="16"/>
  </w:num>
  <w:num w16cid:durableId="559750762" w:numId="9">
    <w:abstractNumId w:val="4"/>
  </w:num>
  <w:num w16cid:durableId="124198849" w:numId="10">
    <w:abstractNumId w:val="1"/>
  </w:num>
  <w:num w16cid:durableId="1215385523" w:numId="11">
    <w:abstractNumId w:val="0"/>
  </w:num>
  <w:num w16cid:durableId="796337536" w:numId="12">
    <w:abstractNumId w:val="14"/>
  </w:num>
  <w:num w16cid:durableId="1092236457" w:numId="13">
    <w:abstractNumId w:val="12"/>
  </w:num>
  <w:num w16cid:durableId="329605508" w:numId="14">
    <w:abstractNumId w:val="6"/>
  </w:num>
  <w:num w16cid:durableId="642198673" w:numId="15">
    <w:abstractNumId w:val="17"/>
  </w:num>
  <w:num w16cid:durableId="1001079702" w:numId="16">
    <w:abstractNumId w:val="18"/>
  </w:num>
  <w:num w16cid:durableId="2069572713" w:numId="17">
    <w:abstractNumId w:val="11"/>
  </w:num>
  <w:num w16cid:durableId="62340833" w:numId="18">
    <w:abstractNumId w:val="19"/>
  </w:num>
  <w:num w16cid:durableId="781262950" w:numId="19">
    <w:abstractNumId w:val="10"/>
  </w:num>
  <w:num w16cid:durableId="1391733786" w:numId="20">
    <w:abstractNumId w:val="9"/>
  </w:num>
  <w:num w16cid:durableId="1747922158" w:numId="21">
    <w:abstractNumId w:val="2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53471"/>
    <w:rsid w:val="000B4F41"/>
    <w:rsid w:val="000D68CD"/>
    <w:rsid w:val="00196D98"/>
    <w:rsid w:val="00200A84"/>
    <w:rsid w:val="002D431D"/>
    <w:rsid w:val="0030072C"/>
    <w:rsid w:val="003074E0"/>
    <w:rsid w:val="004302AB"/>
    <w:rsid w:val="004A3618"/>
    <w:rsid w:val="004A7C10"/>
    <w:rsid w:val="005329DD"/>
    <w:rsid w:val="005A42F7"/>
    <w:rsid w:val="005E1572"/>
    <w:rsid w:val="005E59D5"/>
    <w:rsid w:val="006C405E"/>
    <w:rsid w:val="006C419F"/>
    <w:rsid w:val="006C6E43"/>
    <w:rsid w:val="006D7AA3"/>
    <w:rsid w:val="007415D9"/>
    <w:rsid w:val="00747159"/>
    <w:rsid w:val="00755FE1"/>
    <w:rsid w:val="00770BF7"/>
    <w:rsid w:val="007903E3"/>
    <w:rsid w:val="007B06BF"/>
    <w:rsid w:val="007D22B3"/>
    <w:rsid w:val="008405AB"/>
    <w:rsid w:val="008972D0"/>
    <w:rsid w:val="00934193"/>
    <w:rsid w:val="0095214A"/>
    <w:rsid w:val="009B3DFC"/>
    <w:rsid w:val="009F4E1E"/>
    <w:rsid w:val="00A53471"/>
    <w:rsid w:val="00A6171F"/>
    <w:rsid w:val="00A974C4"/>
    <w:rsid w:val="00AA6760"/>
    <w:rsid w:val="00AC40DC"/>
    <w:rsid w:val="00B1072F"/>
    <w:rsid w:val="00B14096"/>
    <w:rsid w:val="00B450B3"/>
    <w:rsid w:val="00B658C3"/>
    <w:rsid w:val="00B67638"/>
    <w:rsid w:val="00B83AE1"/>
    <w:rsid w:val="00C01973"/>
    <w:rsid w:val="00C920A3"/>
    <w:rsid w:val="00C9754F"/>
    <w:rsid w:val="00CA4E39"/>
    <w:rsid w:val="00CB38B8"/>
    <w:rsid w:val="00D26C7B"/>
    <w:rsid w:val="00D43947"/>
    <w:rsid w:val="00D7033C"/>
    <w:rsid w:val="00D83716"/>
    <w:rsid w:val="00DD26C5"/>
    <w:rsid w:val="00E14AD6"/>
    <w:rsid w:val="00E20A80"/>
    <w:rsid w:val="00E22034"/>
    <w:rsid w:val="00E34D90"/>
    <w:rsid w:val="00E5466D"/>
    <w:rsid w:val="00E94B40"/>
    <w:rsid w:val="00EC0650"/>
    <w:rsid w:val="00F3128C"/>
    <w:rsid w:val="00F45C1F"/>
    <w:rsid w:val="00F63983"/>
    <w:rsid w:val="00F64700"/>
    <w:rsid w:val="00F76E51"/>
    <w:rsid w:val="00FC4139"/>
    <w:rsid w:val="00FD5898"/>
    <w:rsid w:val="00FE3E0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List Bullet"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B14096"/>
    <w:pPr>
      <w:pageBreakBefore/>
      <w:pBdr>
        <w:bottom w:color="1F355E" w:space="1" w:sz="18" w:val="single"/>
      </w:pBdr>
      <w:spacing w:before="360"/>
      <w:ind w:left="567" w:right="571"/>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B14096"/>
    <w:pPr>
      <w:keepNext/>
      <w:autoSpaceDE/>
      <w:autoSpaceDN/>
      <w:spacing w:before="480"/>
      <w:ind w:left="567" w:right="571"/>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B14096"/>
    <w:pPr>
      <w:keepNext/>
      <w:keepLines/>
      <w:spacing w:after="80" w:before="160"/>
      <w:ind w:left="567" w:right="571"/>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B14096"/>
    <w:pPr>
      <w:keepNext/>
      <w:keepLines/>
      <w:spacing w:after="40" w:before="80"/>
      <w:ind w:left="567" w:right="571"/>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14096"/>
    <w:pPr>
      <w:spacing w:after="180" w:before="180"/>
      <w:ind w:left="567" w:right="571"/>
    </w:pPr>
  </w:style>
  <w:style w:customStyle="1" w:styleId="FirstParagraph" w:type="paragraph">
    <w:name w:val="First Paragraph"/>
    <w:basedOn w:val="BodyText"/>
    <w:next w:val="BodyText"/>
    <w:qFormat/>
    <w:rsid w:val="00B14096"/>
    <w:pPr>
      <w:spacing w:after="120" w:before="360"/>
    </w:pPr>
  </w:style>
  <w:style w:customStyle="1" w:styleId="Compact" w:type="paragraph">
    <w:name w:val="Compact"/>
    <w:next w:val="FirstParagraph"/>
    <w:qFormat/>
    <w:rsid w:val="00FE3E05"/>
    <w:pPr>
      <w:spacing w:after="36" w:before="36"/>
      <w:ind w:left="720"/>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7D22B3"/>
    <w:pPr>
      <w:keepNext/>
      <w:keepLines/>
      <w:ind w:left="851"/>
    </w:pPr>
    <w:rPr>
      <w:rFonts w:ascii="Calibri" w:cs="Calibri" w:hAnsi="Calibri"/>
      <w: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14096"/>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B14096"/>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B14096"/>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B14096"/>
    <w:rPr>
      <w:rFonts w:ascii="Calibri" w:cstheme="majorBidi" w:eastAsiaTheme="majorEastAsia" w:hAnsi="Calibri"/>
      <w:i/>
      <w:iCs/>
      <w:color w:themeColor="accent1" w:themeShade="BF" w:val="0F4761"/>
      <w:sz w:val="22"/>
      <w:szCs w:val="22"/>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CB38B8"/>
    <w:pPr>
      <w:spacing w:after="100" w:before="100"/>
      <w:ind w:left="993" w:right="480"/>
    </w:pPr>
  </w:style>
  <w:style w:styleId="FootnoteText" w:type="paragraph">
    <w:name w:val="footnote text"/>
    <w:basedOn w:val="Normal"/>
    <w:uiPriority w:val="9"/>
    <w:unhideWhenUsed/>
    <w:qFormat/>
    <w:rsid w:val="00B14096"/>
    <w:pPr>
      <w:ind w:left="567" w:right="571"/>
    </w:pPr>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uiPriority w:val="39"/>
    <w:rsid w:val="00B14096"/>
    <w:pPr>
      <w:tabs>
        <w:tab w:leader="dot" w:pos="8789" w:val="right"/>
      </w:tabs>
      <w:spacing w:after="0" w:line="240" w:lineRule="auto"/>
      <w:ind w:left="720"/>
      <w:jc w:val="left"/>
    </w:pPr>
    <w:rPr>
      <w:b/>
      <w:bCs/>
      <w:noProof/>
      <w:sz w:val="20"/>
      <w:szCs w:val="20"/>
    </w:r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styleId="ListBullet" w:type="paragraph">
    <w:name w:val="List Bullet"/>
    <w:basedOn w:val="Normal"/>
    <w:qFormat/>
    <w:rsid w:val="00B1072F"/>
    <w:pPr>
      <w:numPr>
        <w:numId w:val="12"/>
      </w:numPr>
      <w:contextualSpacing/>
    </w:pPr>
  </w:style>
  <w:style w:styleId="ListBullet2" w:type="paragraph">
    <w:name w:val="List Bullet 2"/>
    <w:basedOn w:val="Normal"/>
    <w:rsid w:val="00B67638"/>
    <w:pPr>
      <w:numPr>
        <w:numId w:val="5"/>
      </w:numPr>
      <w:tabs>
        <w:tab w:pos="643" w:val="clear"/>
        <w:tab w:pos="1211" w:val="num"/>
      </w:tabs>
      <w:ind w:left="1211"/>
      <w:contextualSpacing/>
    </w:pPr>
  </w:style>
  <w:style w:styleId="ListBullet3" w:type="paragraph">
    <w:name w:val="List Bullet 3"/>
    <w:basedOn w:val="Normal"/>
    <w:rsid w:val="00B67638"/>
    <w:pPr>
      <w:numPr>
        <w:numId w:val="6"/>
      </w:numPr>
      <w:tabs>
        <w:tab w:pos="926" w:val="clear"/>
        <w:tab w:pos="1211" w:val="num"/>
      </w:tabs>
      <w:ind w:left="1211"/>
      <w:contextualSpacing/>
    </w:pPr>
  </w:style>
  <w:style w:styleId="List" w:type="paragraph">
    <w:name w:val="List"/>
    <w:basedOn w:val="Normal"/>
    <w:rsid w:val="003074E0"/>
    <w:pPr>
      <w:ind w:left="1134"/>
      <w:contextualSpacing/>
    </w:pPr>
  </w:style>
  <w:style w:styleId="List2" w:type="paragraph">
    <w:name w:val="List 2"/>
    <w:basedOn w:val="Normal"/>
    <w:rsid w:val="00B67638"/>
    <w:pPr>
      <w:ind w:hanging="283" w:left="1134"/>
      <w:contextualSpacing/>
    </w:pPr>
  </w:style>
  <w:style w:styleId="List3" w:type="paragraph">
    <w:name w:val="List 3"/>
    <w:basedOn w:val="Normal"/>
    <w:rsid w:val="00B67638"/>
    <w:pPr>
      <w:ind w:hanging="283" w:left="1134"/>
      <w:contextualSpacing/>
    </w:pPr>
  </w:style>
  <w:style w:styleId="LineNumber" w:type="character">
    <w:name w:val="line number"/>
    <w:basedOn w:val="DefaultParagraphFont"/>
    <w:rsid w:val="00B83AE1"/>
  </w:style>
  <w:style w:styleId="NormalWeb" w:type="paragraph">
    <w:name w:val="Normal (Web)"/>
    <w:basedOn w:val="Normal"/>
    <w:rsid w:val="006C6E43"/>
    <w:rPr>
      <w:rFonts w:ascii="Times New Roman" w:cs="Times New Roman" w:hAnsi="Times New Roman"/>
      <w:sz w:val="24"/>
      <w:szCs w:val="24"/>
    </w:rPr>
  </w:style>
  <w:style w:styleId="NoteHeading" w:type="paragraph">
    <w:name w:val="Note Heading"/>
    <w:basedOn w:val="Normal"/>
    <w:next w:val="Normal"/>
    <w:link w:val="NoteHeadingChar"/>
    <w:rsid w:val="006C6E43"/>
    <w:pPr>
      <w:spacing w:after="0" w:before="0" w:line="240" w:lineRule="auto"/>
    </w:pPr>
  </w:style>
  <w:style w:customStyle="1" w:styleId="NoteHeadingChar" w:type="character">
    <w:name w:val="Note Heading Char"/>
    <w:basedOn w:val="DefaultParagraphFont"/>
    <w:link w:val="NoteHeading"/>
    <w:rsid w:val="006C6E43"/>
    <w:rPr>
      <w:rFonts w:ascii="Calibri" w:cs="Calibri" w:hAnsi="Calibri"/>
      <w:sz w:val="22"/>
      <w:szCs w:val="22"/>
    </w:rPr>
  </w:style>
  <w:style w:styleId="NormalIndent" w:type="paragraph">
    <w:name w:val="Normal Indent"/>
    <w:basedOn w:val="Normal"/>
    <w:rsid w:val="006C6E43"/>
    <w:pPr>
      <w:ind w:left="720"/>
    </w:pPr>
  </w:style>
  <w:style w:styleId="ListParagraph" w:type="paragraph">
    <w:name w:val="List Paragraph"/>
    <w:basedOn w:val="Normal"/>
    <w:rsid w:val="006C6E43"/>
    <w:pPr>
      <w:ind w:left="1134"/>
    </w:pPr>
  </w:style>
  <w:style w:styleId="ListNumber" w:type="paragraph">
    <w:name w:val="List Number"/>
    <w:basedOn w:val="Normal"/>
    <w:rsid w:val="006C6E43"/>
    <w:pPr>
      <w:numPr>
        <w:numId w:val="9"/>
      </w:numPr>
      <w:tabs>
        <w:tab w:pos="360" w:val="clear"/>
        <w:tab w:pos="1211" w:val="num"/>
      </w:tabs>
      <w:ind w:left="1211"/>
      <w:contextualSpacing/>
    </w:pPr>
  </w:style>
  <w:style w:styleId="ListNumber2" w:type="paragraph">
    <w:name w:val="List Number 2"/>
    <w:basedOn w:val="Normal"/>
    <w:rsid w:val="006C6E43"/>
    <w:pPr>
      <w:numPr>
        <w:numId w:val="10"/>
      </w:numPr>
      <w:tabs>
        <w:tab w:pos="643" w:val="clear"/>
        <w:tab w:pos="1211" w:val="num"/>
      </w:tabs>
      <w:ind w:left="1211"/>
      <w:contextualSpacing/>
    </w:pPr>
  </w:style>
  <w:style w:styleId="ListNumber3" w:type="paragraph">
    <w:name w:val="List Number 3"/>
    <w:basedOn w:val="Normal"/>
    <w:rsid w:val="006C6E43"/>
    <w:pPr>
      <w:numPr>
        <w:numId w:val="11"/>
      </w:numPr>
      <w:tabs>
        <w:tab w:pos="926" w:val="clear"/>
        <w:tab w:pos="1211" w:val="num"/>
      </w:tabs>
      <w:ind w:left="1211"/>
      <w:contextualSpacing/>
    </w:pPr>
  </w:style>
  <w:style w:styleId="ListContinue" w:type="paragraph">
    <w:name w:val="List Continue"/>
    <w:basedOn w:val="Normal"/>
    <w:rsid w:val="006C6E43"/>
    <w:pPr>
      <w:ind w:firstLine="437" w:left="414"/>
      <w:contextualSpacing/>
    </w:pPr>
  </w:style>
  <w:style w:styleId="ListContinue2" w:type="paragraph">
    <w:name w:val="List Continue 2"/>
    <w:basedOn w:val="Normal"/>
    <w:rsid w:val="006C6E43"/>
    <w:pPr>
      <w:ind w:firstLine="154" w:left="697"/>
      <w:contextualSpacing/>
    </w:pPr>
  </w:style>
  <w:style w:styleId="TOC2" w:type="paragraph">
    <w:name w:val="toc 2"/>
    <w:basedOn w:val="Normal"/>
    <w:next w:val="Normal"/>
    <w:autoRedefine/>
    <w:uiPriority w:val="39"/>
    <w:rsid w:val="00196D98"/>
    <w:pPr>
      <w:tabs>
        <w:tab w:leader="dot" w:pos="8789" w:val="right"/>
      </w:tabs>
      <w:spacing w:after="0" w:before="0"/>
      <w:ind w:firstLine="11" w:left="709"/>
      <w:jc w:val="left"/>
    </w:pPr>
    <w:rPr>
      <w:noProof/>
      <w:sz w:val="20"/>
      <w:szCs w:val="20"/>
    </w:rPr>
  </w:style>
  <w:style w:styleId="TOC3" w:type="paragraph">
    <w:name w:val="toc 3"/>
    <w:basedOn w:val="Normal"/>
    <w:next w:val="Normal"/>
    <w:autoRedefine/>
    <w:uiPriority w:val="39"/>
    <w:rsid w:val="00B14096"/>
    <w:pPr>
      <w:tabs>
        <w:tab w:leader="dot" w:pos="8789" w:val="right"/>
      </w:tabs>
      <w:spacing w:after="0" w:before="0"/>
      <w:jc w:val="left"/>
    </w:pPr>
    <w:rPr>
      <w:sz w:val="20"/>
      <w:szCs w:val="20"/>
    </w:rPr>
  </w:style>
  <w:style w:styleId="TOC4" w:type="paragraph">
    <w:name w:val="toc 4"/>
    <w:basedOn w:val="Normal"/>
    <w:next w:val="Normal"/>
    <w:autoRedefine/>
    <w:rsid w:val="005329DD"/>
    <w:pPr>
      <w:spacing w:after="0" w:before="0"/>
      <w:ind w:left="660"/>
      <w:jc w:val="left"/>
    </w:pPr>
    <w:rPr>
      <w:rFonts w:asciiTheme="minorHAnsi" w:hAnsiTheme="minorHAnsi"/>
      <w:sz w:val="20"/>
      <w:szCs w:val="20"/>
    </w:rPr>
  </w:style>
  <w:style w:styleId="TOC5" w:type="paragraph">
    <w:name w:val="toc 5"/>
    <w:basedOn w:val="Normal"/>
    <w:next w:val="Normal"/>
    <w:autoRedefine/>
    <w:rsid w:val="005329DD"/>
    <w:pPr>
      <w:spacing w:after="0" w:before="0"/>
      <w:ind w:left="880"/>
      <w:jc w:val="left"/>
    </w:pPr>
    <w:rPr>
      <w:rFonts w:asciiTheme="minorHAnsi" w:hAnsiTheme="minorHAnsi"/>
      <w:sz w:val="20"/>
      <w:szCs w:val="20"/>
    </w:rPr>
  </w:style>
  <w:style w:styleId="TOC6" w:type="paragraph">
    <w:name w:val="toc 6"/>
    <w:basedOn w:val="Normal"/>
    <w:next w:val="Normal"/>
    <w:autoRedefine/>
    <w:rsid w:val="005329DD"/>
    <w:pPr>
      <w:spacing w:after="0" w:before="0"/>
      <w:ind w:left="1100"/>
      <w:jc w:val="left"/>
    </w:pPr>
    <w:rPr>
      <w:rFonts w:asciiTheme="minorHAnsi" w:hAnsiTheme="minorHAnsi"/>
      <w:sz w:val="20"/>
      <w:szCs w:val="20"/>
    </w:rPr>
  </w:style>
  <w:style w:styleId="TOC7" w:type="paragraph">
    <w:name w:val="toc 7"/>
    <w:basedOn w:val="Normal"/>
    <w:next w:val="Normal"/>
    <w:autoRedefine/>
    <w:rsid w:val="005329DD"/>
    <w:pPr>
      <w:spacing w:after="0" w:before="0"/>
      <w:ind w:left="1320"/>
      <w:jc w:val="left"/>
    </w:pPr>
    <w:rPr>
      <w:rFonts w:asciiTheme="minorHAnsi" w:hAnsiTheme="minorHAnsi"/>
      <w:sz w:val="20"/>
      <w:szCs w:val="20"/>
    </w:rPr>
  </w:style>
  <w:style w:styleId="TOC8" w:type="paragraph">
    <w:name w:val="toc 8"/>
    <w:basedOn w:val="Normal"/>
    <w:next w:val="Normal"/>
    <w:autoRedefine/>
    <w:rsid w:val="005329DD"/>
    <w:pPr>
      <w:spacing w:after="0" w:before="0"/>
      <w:ind w:left="1540"/>
      <w:jc w:val="left"/>
    </w:pPr>
    <w:rPr>
      <w:rFonts w:asciiTheme="minorHAnsi" w:hAnsiTheme="minorHAnsi"/>
      <w:sz w:val="20"/>
      <w:szCs w:val="20"/>
    </w:rPr>
  </w:style>
  <w:style w:styleId="TOC9" w:type="paragraph">
    <w:name w:val="toc 9"/>
    <w:basedOn w:val="Normal"/>
    <w:next w:val="Normal"/>
    <w:autoRedefine/>
    <w:rsid w:val="005329DD"/>
    <w:pPr>
      <w:spacing w:after="0" w:before="0"/>
      <w:ind w:left="1760"/>
      <w:jc w:val="left"/>
    </w:pPr>
    <w:rPr>
      <w:rFonts w:asciiTheme="minorHAnsi" w:hAnsiTheme="minorHAnsi"/>
      <w:sz w:val="20"/>
      <w:szCs w:val="20"/>
    </w:rPr>
  </w:style>
  <w:style w:customStyle="1" w:styleId="CurrentList1" w:type="numbering">
    <w:name w:val="Current List1"/>
    <w:uiPriority w:val="99"/>
    <w:rsid w:val="00F76E51"/>
    <w:pPr>
      <w:numPr>
        <w:numId w:val="13"/>
      </w:numPr>
    </w:pPr>
  </w:style>
  <w:style w:customStyle="1" w:styleId="CurrentList2" w:type="numbering">
    <w:name w:val="Current List2"/>
    <w:uiPriority w:val="99"/>
    <w:rsid w:val="00F76E51"/>
    <w:pPr>
      <w:numPr>
        <w:numId w:val="16"/>
      </w:numPr>
    </w:pPr>
  </w:style>
  <w:style w:customStyle="1" w:styleId="CurrentList3" w:type="numbering">
    <w:name w:val="Current List3"/>
    <w:uiPriority w:val="99"/>
    <w:rsid w:val="006D7AA3"/>
  </w:style>
  <w:style w:customStyle="1" w:styleId="CurrentList4" w:type="numbering">
    <w:name w:val="Current List4"/>
    <w:uiPriority w:val="99"/>
    <w:rsid w:val="00E5466D"/>
    <w:pPr>
      <w:numPr>
        <w:numId w:val="21"/>
      </w:numP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58" Target="media/rId5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7" Target="media/rId27.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148</Words>
  <Characters>845</Characters>
  <Application>Microsoft Office Word</Application>
  <DocSecurity>0</DocSecurity>
  <Lines>7</Lines>
  <Paragraphs>1</Paragraphs>
  <ScaleCrop>false</ScaleCrop>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Bertrand Maître, Daniel Capistrano, Helen Russell</dc:creator>
  <cp:keywords/>
  <dcterms:created xsi:type="dcterms:W3CDTF">2025-09-15T08:56:27Z</dcterms:created>
  <dcterms:modified xsi:type="dcterms:W3CDTF">2025-09-15T08:56:27Z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execute">
    <vt:lpwstr/>
  </property>
  <property fmtid="{D5CDD505-2E9C-101B-9397-08002B2CF9AE}" pid="7" name="fig-cap-location">
    <vt:lpwstr>top</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