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rId21.png" ContentType="image/png"/>
  <Override PartName="/word/media/rId33.png" ContentType="image/png"/>
  <Override PartName="/word/media/rId28.png" ContentType="image/png"/>
  <Override PartName="/word/media/rId97.png" ContentType="image/png"/>
  <Override PartName="/word/media/rId50.png" ContentType="image/png"/>
  <Override PartName="/word/media/rId46.png" ContentType="image/png"/>
  <Override PartName="/word/media/rId70.png" ContentType="image/png"/>
  <Override PartName="/word/media/rId90.png" ContentType="image/png"/>
  <Override PartName="/word/media/rId37.png" ContentType="image/png"/>
  <Override PartName="/word/media/rId56.png" ContentType="image/png"/>
  <Override PartName="/word/media/rId66.png" ContentType="image/png"/>
  <Override PartName="/word/media/rId75.png" ContentType="image/png"/>
  <Override PartName="/word/media/rId83.png" ContentType="image/png"/>
  <Override PartName="/word/media/rId41.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Public support for welfare and redistributive policies in Ireland</w:t>
      </w:r>
    </w:p>
    <w:bookmarkStart w:id="27" w:name="introduction"/>
    <w:p>
      <w:pPr>
        <w:pStyle w:val="Heading1"/>
      </w:pPr>
      <w:r>
        <w:t xml:space="preserve">1. Introduction</w:t>
      </w:r>
    </w:p>
    <w:p>
      <w:pPr>
        <w:pStyle w:val="FirstParagraph"/>
      </w:pPr>
      <w:r>
        <w:t xml:space="preserve">Many vulnerable individuals and families in Ireland, each with different profiles, circumstances, and needs, are struggling to make ends meet and are falling into poverty. A significant number of these people rely heavily on welfare benefits, but the current level of support is often insufficient to protect them from poverty.</w:t>
      </w:r>
    </w:p>
    <w:p>
      <w:pPr>
        <w:pStyle w:val="BodyText"/>
      </w:pPr>
      <w:r>
        <w:t xml:space="preserve">This report presents the findings of a research project that explored attitudes towards welfare and redistributive policies designed to address these challenges. Ireland offers a particularly relevant context for this research. Over the past few decades, the Irish society experienced different levels of economic growth, income inequality, and poverty</w:t>
      </w:r>
      <w:r>
        <w:t xml:space="preserve"> </w:t>
      </w:r>
      <w:r>
        <w:t xml:space="preserve">Roantree, Maître, and Russell (</w:t>
      </w:r>
      <w:hyperlink w:anchor="ref-roantree_poverty_2024">
        <w:r>
          <w:rPr>
            <w:rStyle w:val="Hyperlink"/>
          </w:rPr>
          <w:t xml:space="preserve">2024</w:t>
        </w:r>
      </w:hyperlink>
      <w:r>
        <w:t xml:space="preserve">)</w:t>
      </w:r>
      <w:r>
        <w:t xml:space="preserve">. Therefore, these changing conditions provide information to examine the factors associated with public support for welfare policies and income redistribution.</w:t>
      </w:r>
    </w:p>
    <w:p>
      <w:pPr>
        <w:pStyle w:val="BodyText"/>
      </w:pPr>
      <w:r>
        <w:t xml:space="preserve">The research project was guide by the following general questions:</w:t>
      </w:r>
      <w:r>
        <w:t xml:space="preserve"> </w:t>
      </w:r>
      <w:r>
        <w:t xml:space="preserve">- Who in Ireland supports welfare policies and income redistribution?</w:t>
      </w:r>
      <w:r>
        <w:br/>
      </w:r>
      <w:r>
        <w:t xml:space="preserve">- Has the overall support for welfare policies and income redistribution changed over time?</w:t>
      </w:r>
      <w:r>
        <w:br/>
      </w:r>
      <w:r>
        <w:t xml:space="preserve">- What are the main policy implications of this public support?</w:t>
      </w:r>
    </w:p>
    <w:bookmarkStart w:id="20" w:name="key-points"/>
    <w:p>
      <w:pPr>
        <w:pStyle w:val="Heading2"/>
      </w:pPr>
      <w:r>
        <w:t xml:space="preserve">1.1 Key points</w:t>
      </w:r>
    </w:p>
    <w:p>
      <w:pPr>
        <w:numPr>
          <w:ilvl w:val="0"/>
          <w:numId w:val="1001"/>
        </w:numPr>
      </w:pPr>
      <w:r>
        <w:t xml:space="preserve">Over time, there is an overall stable support for government’s role in reducing differences in income levels (</w:t>
      </w:r>
      <w:hyperlink w:anchor="fig-ess-time">
        <w:r>
          <w:rPr>
            <w:rStyle w:val="Hyperlink"/>
          </w:rPr>
          <w:t xml:space="preserve">Figure 6</w:t>
        </w:r>
      </w:hyperlink>
      <w:r>
        <w:t xml:space="preserve">) and for wealth redistribution (</w:t>
      </w:r>
      <w:hyperlink w:anchor="fig-vs-time">
        <w:r>
          <w:rPr>
            <w:rStyle w:val="Hyperlink"/>
          </w:rPr>
          <w:t xml:space="preserve">Figure 7</w:t>
        </w:r>
      </w:hyperlink>
      <w:r>
        <w:t xml:space="preserve">).</w:t>
      </w:r>
    </w:p>
    <w:p>
      <w:pPr>
        <w:numPr>
          <w:ilvl w:val="0"/>
          <w:numId w:val="1001"/>
        </w:numPr>
      </w:pPr>
      <w:r>
        <w:t xml:space="preserve">ESS respondents from lower social classes and in worse financial situation are more likely to agree that the government should reduce differences in income levels (</w:t>
      </w:r>
      <w:r>
        <w:rPr>
          <w:b/>
          <w:bCs/>
        </w:rPr>
        <w:t xml:space="preserve">?@tbl-multiv-gincdif</w:t>
      </w:r>
      <w:r>
        <w:t xml:space="preserve">).</w:t>
      </w:r>
    </w:p>
    <w:p>
      <w:pPr>
        <w:numPr>
          <w:ilvl w:val="0"/>
          <w:numId w:val="1001"/>
        </w:numPr>
      </w:pPr>
      <w:r>
        <w:t xml:space="preserve">From 2008 to 2016, there was a significant reduction on the average agreement that social benefits pplace too great strain on economy (</w:t>
      </w:r>
      <w:hyperlink w:anchor="fig-benefits">
        <w:r>
          <w:rPr>
            <w:rStyle w:val="Hyperlink"/>
          </w:rPr>
          <w:t xml:space="preserve">Figure 13</w:t>
        </w:r>
      </w:hyperlink>
      <w:r>
        <w:t xml:space="preserve">)</w:t>
      </w:r>
    </w:p>
    <w:p>
      <w:pPr>
        <w:numPr>
          <w:ilvl w:val="0"/>
          <w:numId w:val="1001"/>
        </w:numPr>
      </w:pPr>
      <w:r>
        <w:t xml:space="preserve">Respondents in worse financial situation (subjective self-reported) tend to disagree more with the perspective that social benefits are disincentives for work, economy and social cooperation (</w:t>
      </w:r>
      <w:hyperlink w:anchor="tbl-multiv-beliefs">
        <w:r>
          <w:rPr>
            <w:rStyle w:val="Hyperlink"/>
          </w:rPr>
          <w:t xml:space="preserve">Table 2</w:t>
        </w:r>
      </w:hyperlink>
      <w:r>
        <w:t xml:space="preserve">)</w:t>
      </w:r>
    </w:p>
    <w:p>
      <w:pPr>
        <w:numPr>
          <w:ilvl w:val="0"/>
          <w:numId w:val="1001"/>
        </w:numPr>
      </w:pPr>
      <w:r>
        <w:t xml:space="preserve">There is a trajectory of increasing support for redistribution across skilled and unskilled workers since round 8 (2016). However, for lower-grade service class and small business owners, there seems to be a break in this trajectory captured in the latest wave (</w:t>
      </w:r>
      <w:hyperlink w:anchor="fig-class5-time">
        <w:r>
          <w:rPr>
            <w:rStyle w:val="Hyperlink"/>
          </w:rPr>
          <w:t xml:space="preserve">Figure 9</w:t>
        </w:r>
      </w:hyperlink>
      <w:r>
        <w:t xml:space="preserve">)</w:t>
      </w:r>
    </w:p>
    <w:bookmarkEnd w:id="20"/>
    <w:bookmarkStart w:id="26" w:name="methods-and-data"/>
    <w:p>
      <w:pPr>
        <w:pStyle w:val="Heading2"/>
      </w:pPr>
      <w:r>
        <w:t xml:space="preserve">1.2 Methods and data</w:t>
      </w:r>
    </w:p>
    <w:p>
      <w:pPr>
        <w:pStyle w:val="FirstParagraph"/>
      </w:pPr>
      <w:r>
        <w:t xml:space="preserve">Social surveys are widely used as a research instrument to assess welfare attitudes and attitudes to redistribution</w:t>
      </w:r>
      <w:r>
        <w:t xml:space="preserve"> </w:t>
      </w:r>
      <w:r>
        <w:t xml:space="preserve">(</w:t>
      </w:r>
      <w:hyperlink w:anchor="ref-steele_attitudes_2019">
        <w:r>
          <w:rPr>
            <w:rStyle w:val="Hyperlink"/>
          </w:rPr>
          <w:t xml:space="preserve">Steele and Breznau 2019</w:t>
        </w:r>
      </w:hyperlink>
      <w:r>
        <w:t xml:space="preserve">;</w:t>
      </w:r>
      <w:r>
        <w:t xml:space="preserve"> </w:t>
      </w:r>
      <w:hyperlink w:anchor="ref-svallfors_contested_2012">
        <w:r>
          <w:rPr>
            <w:rStyle w:val="Hyperlink"/>
          </w:rPr>
          <w:t xml:space="preserve">Svallfors 2012</w:t>
        </w:r>
      </w:hyperlink>
      <w:r>
        <w:t xml:space="preserve">)</w:t>
      </w:r>
    </w:p>
    <w:p>
      <w:pPr>
        <w:pStyle w:val="Compact"/>
        <w:numPr>
          <w:ilvl w:val="0"/>
          <w:numId w:val="1002"/>
        </w:numPr>
      </w:pPr>
      <w:r>
        <w:rPr>
          <w:b/>
          <w:bCs/>
        </w:rPr>
        <w:t xml:space="preserve">European Elections Studies</w:t>
      </w:r>
      <w:r>
        <w:t xml:space="preserve">: The research examined public opinion data from Voter Surveys conducted immediately after the European elections. Data from the latest three surveys (2014, 2019, 2024) were analysed here. These surveys are part of the European Elections Studies (EES), which also features political elite surveys, media studies, and the Euromanifestos project that codes Party Manifestos. Before 1994, the voter survey questions 3 part of the Eurobarometer surveys. Since the 1999 elections, EES surveys have been conducted independently of the Eurobarometer. The main response variable used in this project is based on a question related to wealth redistribution. The interviewer manual does not contain any additional instruction in relation to this question, so respondents provided their answers according to their understanding of the following wording: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daniel.capistrano\AppData\Local\Program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wording</w:t>
            </w:r>
          </w:p>
        </w:tc>
      </w:tr>
      <w:tr>
        <w:trPr>
          <w:cantSplit/>
        </w:trPr>
        <w:tc>
          <w:tcPr>
            <w:tcMar>
              <w:top w:w="108" w:type="dxa"/>
              <w:bottom w:w="108" w:type="dxa"/>
            </w:tcMar>
          </w:tcPr>
          <w:p>
            <w:pPr>
              <w:pStyle w:val="BodyText"/>
            </w:pPr>
            <w:pPr>
              <w:spacing w:before="16"/>
            </w:pPr>
            <w:r>
              <w:t xml:space="preserve">[…] We would like to ask you to position yourself on a scale from 0 to 10, where</w:t>
            </w:r>
            <w:r>
              <w:t xml:space="preserve"> </w:t>
            </w:r>
            <w:r>
              <w:t xml:space="preserve">‘0’</w:t>
            </w:r>
            <w:r>
              <w:t xml:space="preserve"> </w:t>
            </w:r>
            <w:r>
              <w:t xml:space="preserve">means that you</w:t>
            </w:r>
            <w:r>
              <w:t xml:space="preserve"> </w:t>
            </w:r>
            <w:r>
              <w:t xml:space="preserve">“fully agree with the statement at the top”</w:t>
            </w:r>
            <w:r>
              <w:t xml:space="preserve"> </w:t>
            </w:r>
            <w:r>
              <w:t xml:space="preserve">and</w:t>
            </w:r>
            <w:r>
              <w:t xml:space="preserve"> </w:t>
            </w:r>
            <w:r>
              <w:t xml:space="preserve">‘10’</w:t>
            </w:r>
            <w:r>
              <w:t xml:space="preserve"> </w:t>
            </w:r>
            <w:r>
              <w:t xml:space="preserve">means that you</w:t>
            </w:r>
            <w:r>
              <w:t xml:space="preserve"> </w:t>
            </w:r>
            <w:r>
              <w:t xml:space="preserve">“fully agree with the statement at the bottom”</w:t>
            </w:r>
            <w:r>
              <w:t xml:space="preserve">. […]</w:t>
            </w:r>
          </w:p>
          <w:p>
            <w:pPr>
              <w:pStyle w:val="BodyText"/>
            </w:pPr>
            <w:pPr>
              <w:spacing w:after="16"/>
            </w:pPr>
            <w:r>
              <w:rPr>
                <w:b/>
                <w:bCs/>
              </w:rPr>
              <w:t xml:space="preserve">Redistribution of wealth</w:t>
            </w:r>
            <w:r>
              <w:br/>
            </w:r>
            <w:r>
              <w:rPr>
                <w:b/>
                <w:bCs/>
              </w:rPr>
              <w:t xml:space="preserve">0</w:t>
            </w:r>
            <w:r>
              <w:t xml:space="preserve"> </w:t>
            </w:r>
            <w:r>
              <w:t xml:space="preserve">- You fully favour redistribution from the rich to the poor in Ireland</w:t>
            </w:r>
            <w:r>
              <w:br/>
            </w:r>
            <w:r>
              <w:rPr>
                <w:b/>
                <w:bCs/>
              </w:rPr>
              <w:t xml:space="preserve">10</w:t>
            </w:r>
            <w:r>
              <w:t xml:space="preserve"> </w:t>
            </w:r>
            <w:r>
              <w:t xml:space="preserve">You fully oppose redistribution of wealth from the rich to the poor in Ireland</w:t>
            </w:r>
          </w:p>
        </w:tc>
      </w:tr>
    </w:tbl>
    <w:p>
      <w:pPr>
        <w:pStyle w:val="BodyText"/>
      </w:pPr>
      <w:r>
        <w:t xml:space="preserve">The original scale of this variable was inverted for this analysis. So, in the results presented here, higher values indicate more in favour of redistribution.</w:t>
      </w:r>
    </w:p>
    <w:p>
      <w:pPr>
        <w:pStyle w:val="BodyText"/>
      </w:pPr>
      <w:r>
        <w:t xml:space="preserve">Here are relevant variables from the latest three waves that were also included in the analysis.</w:t>
      </w:r>
    </w:p>
    <w:p>
      <w:pPr>
        <w:numPr>
          <w:ilvl w:val="0"/>
          <w:numId w:val="1003"/>
        </w:numPr>
      </w:pPr>
      <w:r>
        <w:t xml:space="preserve">Country of birth</w:t>
      </w:r>
      <w:r>
        <w:br/>
      </w:r>
    </w:p>
    <w:p>
      <w:pPr>
        <w:numPr>
          <w:ilvl w:val="0"/>
          <w:numId w:val="1003"/>
        </w:numPr>
      </w:pPr>
      <w:r>
        <w:t xml:space="preserve">Age</w:t>
      </w:r>
      <w:r>
        <w:br/>
      </w:r>
    </w:p>
    <w:p>
      <w:pPr>
        <w:numPr>
          <w:ilvl w:val="0"/>
          <w:numId w:val="1003"/>
        </w:numPr>
      </w:pPr>
      <w:r>
        <w:t xml:space="preserve">Gender</w:t>
      </w:r>
      <w:r>
        <w:br/>
      </w:r>
    </w:p>
    <w:p>
      <w:pPr>
        <w:numPr>
          <w:ilvl w:val="0"/>
          <w:numId w:val="1003"/>
        </w:numPr>
      </w:pPr>
      <w:r>
        <w:t xml:space="preserve">Educational attainment</w:t>
      </w:r>
    </w:p>
    <w:p>
      <w:pPr>
        <w:numPr>
          <w:ilvl w:val="0"/>
          <w:numId w:val="1003"/>
        </w:numPr>
      </w:pPr>
      <w:r>
        <w:rPr>
          <w:b/>
          <w:bCs/>
        </w:rPr>
        <w:t xml:space="preserve">European Social Survey</w:t>
      </w:r>
      <w:r>
        <w:t xml:space="preserve">: The main data source for this project is the European Social Survey (ESS). Most of the analysis is based on a core question that was asked across all 11 rounds since 2002. In addition, we also explore several questions from the module on welfare attitudes that was fielded in 2008 and 2016. The main response variable used in this project is based on a question regarding the role of the government in reducing income inequalities that was administered across all 11 rounds. The interviewer manual does not contain any additional instruction in relation to this question, so respondents provided their answers according to their understanding of the following wording: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daniel.capistrano\AppData\Local\Program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wording</w:t>
            </w:r>
          </w:p>
        </w:tc>
      </w:tr>
      <w:tr>
        <w:trPr>
          <w:cantSplit/>
        </w:trPr>
        <w:tc>
          <w:tcPr>
            <w:tcMar>
              <w:top w:w="108" w:type="dxa"/>
              <w:bottom w:w="108" w:type="dxa"/>
            </w:tcMar>
          </w:tcPr>
          <w:p>
            <w:pPr>
              <w:pStyle w:val="BodyText"/>
            </w:pPr>
            <w:pPr>
              <w:spacing w:before="16"/>
            </w:pPr>
            <w:r>
              <w:t xml:space="preserve">Using this card, please say to what extent you agree or disagree with each of the following statements.</w:t>
            </w:r>
            <w:r>
              <w:t xml:space="preserve"> </w:t>
            </w:r>
            <w:r>
              <w:rPr>
                <w:b/>
                <w:bCs/>
              </w:rPr>
              <w:t xml:space="preserve">The government should take measures to reduce differences in income levels</w:t>
            </w:r>
          </w:p>
          <w:p>
            <w:pPr>
              <w:pStyle w:val="BodyText"/>
            </w:pPr>
            <w:pPr>
              <w:spacing w:after="16"/>
            </w:pPr>
            <w:r>
              <w:t xml:space="preserve">1 Agree strongly</w:t>
            </w:r>
            <w:r>
              <w:br/>
            </w:r>
            <w:r>
              <w:t xml:space="preserve">2 Agree</w:t>
            </w:r>
            <w:r>
              <w:br/>
            </w:r>
            <w:r>
              <w:t xml:space="preserve">3 Neither agree nor disagree</w:t>
            </w:r>
            <w:r>
              <w:br/>
            </w:r>
            <w:r>
              <w:t xml:space="preserve">4 Disagree</w:t>
            </w:r>
            <w:r>
              <w:br/>
            </w:r>
            <w:r>
              <w:t xml:space="preserve">5 Disagree strongly</w:t>
            </w:r>
          </w:p>
        </w:tc>
      </w:tr>
    </w:tbl>
    <w:p>
      <w:pPr>
        <w:pStyle w:val="BodyText"/>
      </w:pPr>
      <w:r>
        <w:t xml:space="preserve">The original scale of this variable was inverted for this analysis. So, in the results presented here, higher values denote stronger agreement with government reducing income differences.</w:t>
      </w:r>
    </w:p>
    <w:p>
      <w:pPr>
        <w:pStyle w:val="BodyText"/>
      </w:pPr>
      <w:r>
        <w:t xml:space="preserve">Some recent studies have raised concerns in relation to the reliability of this question as a measurement of support for redistribution. Margalit and Raviv</w:t>
      </w:r>
      <w:r>
        <w:t xml:space="preserve"> </w:t>
      </w:r>
      <w:r>
        <w:t xml:space="preserve">(</w:t>
      </w:r>
      <w:hyperlink w:anchor="ref-margalit_does_2024">
        <w:r>
          <w:rPr>
            <w:rStyle w:val="Hyperlink"/>
          </w:rPr>
          <w:t xml:space="preserve">2024</w:t>
        </w:r>
      </w:hyperlink>
      <w:r>
        <w:t xml:space="preserve">)</w:t>
      </w:r>
      <w:r>
        <w:t xml:space="preserve"> </w:t>
      </w:r>
      <w:r>
        <w:t xml:space="preserve">argues that reduction in income differences is too abstract and respondents in general do not link it to redistributive measures. Similarly, it has been suggested that this question only captures a diffuse inclination to equality and that is why responses are inconsistent with voting preferences across countries</w:t>
      </w:r>
      <w:r>
        <w:t xml:space="preserve"> </w:t>
      </w:r>
      <w:r>
        <w:t xml:space="preserve">Dallinger (</w:t>
      </w:r>
      <w:hyperlink w:anchor="ref-dallinger_ambivalence_2022">
        <w:r>
          <w:rPr>
            <w:rStyle w:val="Hyperlink"/>
          </w:rPr>
          <w:t xml:space="preserve">2022</w:t>
        </w:r>
      </w:hyperlink>
      <w:r>
        <w:t xml:space="preserve">)</w:t>
      </w:r>
      <w:r>
        <w:t xml:space="preserve">. However,</w:t>
      </w:r>
      <w:r>
        <w:t xml:space="preserve"> </w:t>
      </w:r>
      <w:r>
        <w:t xml:space="preserve">Breznau et al. (</w:t>
      </w:r>
      <w:hyperlink w:anchor="ref-breznau_moderating_2025">
        <w:r>
          <w:rPr>
            <w:rStyle w:val="Hyperlink"/>
          </w:rPr>
          <w:t xml:space="preserve">2025</w:t>
        </w:r>
      </w:hyperlink>
      <w:r>
        <w:t xml:space="preserve">)</w:t>
      </w:r>
      <w:r>
        <w:t xml:space="preserve"> </w:t>
      </w:r>
      <w:r>
        <w:t xml:space="preserve">argue that the absence of a relationship between this measurement and other expected correlates (voting preferences / support for concrete policies) is due to the ommission of views on government (trust and perceptions of corruption) as a moderating variable.</w:t>
      </w:r>
    </w:p>
    <w:p>
      <w:pPr>
        <w:pStyle w:val="BodyText"/>
      </w:pPr>
      <w:r>
        <w:t xml:space="preserve">Here are relevant variables from the latest three waves that were also included in the analysis.</w:t>
      </w:r>
    </w:p>
    <w:p>
      <w:pPr>
        <w:pStyle w:val="Compact"/>
        <w:numPr>
          <w:ilvl w:val="0"/>
          <w:numId w:val="1004"/>
        </w:numPr>
      </w:pPr>
      <w:r>
        <w:t xml:space="preserve">Placement on left right scale</w:t>
      </w:r>
      <w:r>
        <w:br/>
      </w:r>
    </w:p>
    <w:p>
      <w:pPr>
        <w:pStyle w:val="Compact"/>
        <w:numPr>
          <w:ilvl w:val="0"/>
          <w:numId w:val="1004"/>
        </w:numPr>
      </w:pPr>
      <w:r>
        <w:t xml:space="preserve">Citizen of country</w:t>
      </w:r>
      <w:r>
        <w:br/>
      </w:r>
    </w:p>
    <w:p>
      <w:pPr>
        <w:pStyle w:val="Compact"/>
        <w:numPr>
          <w:ilvl w:val="0"/>
          <w:numId w:val="1004"/>
        </w:numPr>
      </w:pPr>
      <w:r>
        <w:t xml:space="preserve">Born in country</w:t>
      </w:r>
      <w:r>
        <w:br/>
      </w:r>
    </w:p>
    <w:p>
      <w:pPr>
        <w:pStyle w:val="Compact"/>
        <w:numPr>
          <w:ilvl w:val="0"/>
          <w:numId w:val="1004"/>
        </w:numPr>
      </w:pPr>
      <w:r>
        <w:t xml:space="preserve">Gender</w:t>
      </w:r>
      <w:r>
        <w:br/>
      </w:r>
    </w:p>
    <w:p>
      <w:pPr>
        <w:pStyle w:val="Compact"/>
        <w:numPr>
          <w:ilvl w:val="0"/>
          <w:numId w:val="1004"/>
        </w:numPr>
      </w:pPr>
      <w:r>
        <w:t xml:space="preserve">Year of birth</w:t>
      </w:r>
      <w:r>
        <w:br/>
      </w:r>
    </w:p>
    <w:p>
      <w:pPr>
        <w:pStyle w:val="Compact"/>
        <w:numPr>
          <w:ilvl w:val="0"/>
          <w:numId w:val="1004"/>
        </w:numPr>
      </w:pPr>
      <w:r>
        <w:t xml:space="preserve">Highest level of education</w:t>
      </w:r>
      <w:r>
        <w:br/>
      </w:r>
    </w:p>
    <w:p>
      <w:pPr>
        <w:pStyle w:val="Compact"/>
        <w:numPr>
          <w:ilvl w:val="0"/>
          <w:numId w:val="1004"/>
        </w:numPr>
      </w:pPr>
      <w:r>
        <w:t xml:space="preserve">Feeling about household’s income nowadays</w:t>
      </w:r>
    </w:p>
    <w:p>
      <w:pPr>
        <w:pStyle w:val="FirstParagraph"/>
      </w:pPr>
      <w:r>
        <w:t xml:space="preserve">In addition, based on the class scheme developed by Oesch</w:t>
      </w:r>
      <w:r>
        <w:t xml:space="preserve"> </w:t>
      </w:r>
      <w:r>
        <w:t xml:space="preserve">(</w:t>
      </w:r>
      <w:hyperlink w:anchor="ref-oesch_coming_2006">
        <w:r>
          <w:rPr>
            <w:rStyle w:val="Hyperlink"/>
          </w:rPr>
          <w:t xml:space="preserve">2006</w:t>
        </w:r>
      </w:hyperlink>
      <w:r>
        <w:t xml:space="preserve">)</w:t>
      </w:r>
      <w:r>
        <w:t xml:space="preserve">, a</w:t>
      </w:r>
      <w:r>
        <w:t xml:space="preserve"> </w:t>
      </w:r>
      <w:r>
        <w:t xml:space="preserve">“social class”</w:t>
      </w:r>
      <w:r>
        <w:t xml:space="preserve"> </w:t>
      </w:r>
      <w:r>
        <w:t xml:space="preserve">variable was constructed based on occupational variables and following</w:t>
      </w:r>
      <w:r>
        <w:t xml:space="preserve"> </w:t>
      </w:r>
      <w:r>
        <w:t xml:space="preserve">Tawfik and Oesch (</w:t>
      </w:r>
      <w:hyperlink w:anchor="ref-tawfik_script_2020">
        <w:r>
          <w:rPr>
            <w:rStyle w:val="Hyperlink"/>
          </w:rPr>
          <w:t xml:space="preserve">2020</w:t>
        </w:r>
      </w:hyperlink>
      <w:r>
        <w:t xml:space="preserve">)</w:t>
      </w:r>
      <w:r>
        <w:t xml:space="preserve"> </w:t>
      </w:r>
      <w:r>
        <w:t xml:space="preserve">script.</w:t>
      </w:r>
    </w:p>
    <w:bookmarkEnd w:id="26"/>
    <w:bookmarkEnd w:id="27"/>
    <w:bookmarkStart w:id="65" w:name="who-supports-redistribution"/>
    <w:p>
      <w:pPr>
        <w:pStyle w:val="Heading1"/>
      </w:pPr>
      <w:r>
        <w:t xml:space="preserve">2. Who supports redistribution?</w:t>
      </w:r>
    </w:p>
    <w:bookmarkStart w:id="32" w:name="gender"/>
    <w:p>
      <w:pPr>
        <w:pStyle w:val="Heading2"/>
      </w:pPr>
      <w:r>
        <w:t xml:space="preserve">2.1 Gender</w:t>
      </w:r>
    </w:p>
    <w:p>
      <w:pPr>
        <w:pStyle w:val="FirstParagraph"/>
      </w:pPr>
      <w:r>
        <w:t xml:space="preserve">The</w:t>
      </w:r>
      <w:r>
        <w:t xml:space="preserve"> </w:t>
      </w:r>
      <w:hyperlink w:anchor="tbl-gender">
        <w:r>
          <w:rPr>
            <w:rStyle w:val="Hyperlink"/>
          </w:rPr>
          <w:t xml:space="preserve">Table 1</w:t>
        </w:r>
      </w:hyperlink>
      <w:r>
        <w:t xml:space="preserve"> </w:t>
      </w:r>
      <w:r>
        <w:t xml:space="preserve">shows the mean values for the main response variable in each study in 2024 by gender.</w:t>
      </w:r>
    </w:p>
    <w:tbl>
      <w:tblPr>
        <w:tblStyle w:val="Table"/>
        <w:tblW w:type="pct" w:w="5000"/>
        <w:tblLayout w:type="fixed"/>
        <w:tblLook w:firstRow="0" w:lastRow="0" w:firstColumn="0" w:lastColumn="0" w:noHBand="0" w:noVBand="0" w:val="0000"/>
      </w:tblPr>
      <w:tblGrid>
        <w:gridCol w:w="7920"/>
      </w:tblGrid>
      <w:tr>
        <w:tc>
          <w:tcPr/>
          <w:bookmarkStart w:id="31" w:name="tbl-gender"/>
          <w:p>
            <w:pPr>
              <w:jc w:val="center"/>
            </w:pPr>
            <w:pPr>
              <w:jc w:val="start"/>
              <w:spacing w:before="200"/>
              <w:pStyle w:val="ImageCaption"/>
            </w:pPr>
            <w:r>
              <w:t xml:space="preserve">Table 1: Mean values by gender and study in 2024</w:t>
            </w:r>
          </w:p>
          <w:p>
            <w:pPr>
              <w:jc w:val="center"/>
            </w:pPr>
            <w:r>
              <w:drawing>
                <wp:inline>
                  <wp:extent cx="5943600" cy="2319921"/>
                  <wp:effectExtent b="0" l="0" r="0" t="0"/>
                  <wp:docPr descr="" title="" id="29" name="Picture"/>
                  <a:graphic>
                    <a:graphicData uri="http://schemas.openxmlformats.org/drawingml/2006/picture">
                      <pic:pic>
                        <pic:nvPicPr>
                          <pic:cNvPr descr="_assets/img/tbl_gender.png" id="30" name="Picture"/>
                          <pic:cNvPicPr>
                            <a:picLocks noChangeArrowheads="1" noChangeAspect="1"/>
                          </pic:cNvPicPr>
                        </pic:nvPicPr>
                        <pic:blipFill>
                          <a:blip r:embed="rId28"/>
                          <a:stretch>
                            <a:fillRect/>
                          </a:stretch>
                        </pic:blipFill>
                        <pic:spPr bwMode="auto">
                          <a:xfrm>
                            <a:off x="0" y="0"/>
                            <a:ext cx="5943600" cy="2319921"/>
                          </a:xfrm>
                          <a:prstGeom prst="rect">
                            <a:avLst/>
                          </a:prstGeom>
                          <a:noFill/>
                          <a:ln w="9525">
                            <a:noFill/>
                            <a:headEnd/>
                            <a:tailEnd/>
                          </a:ln>
                        </pic:spPr>
                      </pic:pic>
                    </a:graphicData>
                  </a:graphic>
                </wp:inline>
              </w:drawing>
            </w:r>
          </w:p>
          <w:bookmarkEnd w:id="31"/>
        </w:tc>
      </w:tr>
    </w:tbl>
    <w:bookmarkEnd w:id="32"/>
    <w:bookmarkStart w:id="45" w:name="age"/>
    <w:p>
      <w:pPr>
        <w:pStyle w:val="Heading2"/>
      </w:pPr>
      <w:r>
        <w:t xml:space="preserve">2.2 Age</w:t>
      </w:r>
    </w:p>
    <w:p>
      <w:pPr>
        <w:pStyle w:val="FirstParagraph"/>
      </w:pPr>
      <w:r>
        <w:t xml:space="preserve">The relationship between age and the response variable seems to change across rounds. As shown in</w:t>
      </w:r>
      <w:r>
        <w:t xml:space="preserve"> </w:t>
      </w:r>
      <w:hyperlink w:anchor="fig-ess-age">
        <w:r>
          <w:rPr>
            <w:rStyle w:val="Hyperlink"/>
          </w:rPr>
          <w:t xml:space="preserve">Figure 1</w:t>
        </w:r>
      </w:hyperlink>
      <w:r>
        <w:t xml:space="preserve">, early rounds suggest that older respondents support more the government reducing income differences, whereas the latest round (11) and round 8 seem to indicate the opposite.</w:t>
      </w:r>
    </w:p>
    <w:p>
      <w:pPr>
        <w:pStyle w:val="Heading3"/>
      </w:pPr>
      <w:r>
        <w:t xml:space="preserve">ESS</w:t>
      </w:r>
    </w:p>
    <w:tbl>
      <w:tblPr>
        <w:tblStyle w:val="Table"/>
        <w:tblW w:type="pct" w:w="5000"/>
        <w:tblLayout w:type="fixed"/>
        <w:tblLook w:firstRow="0" w:lastRow="0" w:firstColumn="0" w:lastColumn="0" w:noHBand="0" w:noVBand="0" w:val="0000"/>
      </w:tblPr>
      <w:tblGrid>
        <w:gridCol w:w="7920"/>
      </w:tblGrid>
      <w:tr>
        <w:tc>
          <w:tcPr/>
          <w:bookmarkStart w:id="36" w:name="fig-ess-age"/>
          <w:p>
            <w:pPr>
              <w:pStyle w:val="Compact"/>
              <w:jc w:val="center"/>
            </w:pPr>
            <w:r>
              <w:drawing>
                <wp:inline>
                  <wp:extent cx="5943600" cy="5094514"/>
                  <wp:effectExtent b="0" l="0" r="0" t="0"/>
                  <wp:docPr descr="" title="" id="34" name="Picture"/>
                  <a:graphic>
                    <a:graphicData uri="http://schemas.openxmlformats.org/drawingml/2006/picture">
                      <pic:pic>
                        <pic:nvPicPr>
                          <pic:cNvPr descr="_assets/img/fig_ess_age.png" id="35" name="Picture"/>
                          <pic:cNvPicPr>
                            <a:picLocks noChangeArrowheads="1" noChangeAspect="1"/>
                          </pic:cNvPicPr>
                        </pic:nvPicPr>
                        <pic:blipFill>
                          <a:blip r:embed="rId33"/>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Scatter plot for</w:t>
            </w:r>
            <w:r>
              <w:t xml:space="preserve"> </w:t>
            </w:r>
            <w:r>
              <w:t xml:space="preserve">‘Government should reduce income differences’</w:t>
            </w:r>
            <w:r>
              <w:t xml:space="preserve"> </w:t>
            </w:r>
            <w:r>
              <w:t xml:space="preserve">by age and round</w:t>
            </w:r>
          </w:p>
          <w:bookmarkEnd w:id="36"/>
        </w:tc>
      </w:tr>
    </w:tbl>
    <w:p>
      <w:pPr>
        <w:pStyle w:val="Heading3"/>
      </w:pPr>
      <w:r>
        <w:t xml:space="preserve">ESS</w:t>
      </w:r>
    </w:p>
    <w:tbl>
      <w:tblPr>
        <w:tblStyle w:val="Table"/>
        <w:tblW w:type="pct" w:w="5000"/>
        <w:tblLayout w:type="fixed"/>
        <w:tblLook w:firstRow="0" w:lastRow="0" w:firstColumn="0" w:lastColumn="0" w:noHBand="0" w:noVBand="0" w:val="0000"/>
      </w:tblPr>
      <w:tblGrid>
        <w:gridCol w:w="7920"/>
      </w:tblGrid>
      <w:tr>
        <w:tc>
          <w:tcPr/>
          <w:bookmarkStart w:id="40" w:name="fig-ess-cohort"/>
          <w:p>
            <w:pPr>
              <w:pStyle w:val="Compact"/>
              <w:jc w:val="center"/>
            </w:pPr>
            <w:r>
              <w:drawing>
                <wp:inline>
                  <wp:extent cx="4620126" cy="3696101"/>
                  <wp:effectExtent b="0" l="0" r="0" t="0"/>
                  <wp:docPr descr="" title="" id="38" name="Picture"/>
                  <a:graphic>
                    <a:graphicData uri="http://schemas.openxmlformats.org/drawingml/2006/picture">
                      <pic:pic>
                        <pic:nvPicPr>
                          <pic:cNvPr descr="report_files/figure-docx/fig-ess-cohort-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Mean values for</w:t>
            </w:r>
            <w:r>
              <w:t xml:space="preserve"> </w:t>
            </w:r>
            <w:r>
              <w:t xml:space="preserve">‘Government should reduce income differences’</w:t>
            </w:r>
            <w:r>
              <w:t xml:space="preserve"> </w:t>
            </w:r>
            <w:r>
              <w:t xml:space="preserve">by false cohort and round</w:t>
            </w:r>
          </w:p>
          <w:bookmarkEnd w:id="40"/>
        </w:tc>
      </w:tr>
    </w:tbl>
    <w:p>
      <w:pPr>
        <w:pStyle w:val="Heading3"/>
      </w:pPr>
      <w:r>
        <w:t xml:space="preserve">VS</w:t>
      </w:r>
    </w:p>
    <w:tbl>
      <w:tblPr>
        <w:tblStyle w:val="Table"/>
        <w:tblW w:type="pct" w:w="5000"/>
        <w:tblLayout w:type="fixed"/>
        <w:tblLook w:firstRow="0" w:lastRow="0" w:firstColumn="0" w:lastColumn="0" w:noHBand="0" w:noVBand="0" w:val="0000"/>
      </w:tblPr>
      <w:tblGrid>
        <w:gridCol w:w="7920"/>
      </w:tblGrid>
      <w:tr>
        <w:tc>
          <w:tcPr/>
          <w:bookmarkStart w:id="44" w:name="fig-vs-age"/>
          <w:p>
            <w:pPr>
              <w:pStyle w:val="Compact"/>
              <w:jc w:val="center"/>
            </w:pPr>
            <w:r>
              <w:drawing>
                <wp:inline>
                  <wp:extent cx="4620126" cy="3696101"/>
                  <wp:effectExtent b="0" l="0" r="0" t="0"/>
                  <wp:docPr descr="" title="" id="42" name="Picture"/>
                  <a:graphic>
                    <a:graphicData uri="http://schemas.openxmlformats.org/drawingml/2006/picture">
                      <pic:pic>
                        <pic:nvPicPr>
                          <pic:cNvPr descr="report_files/figure-docx/fig-vs-age-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Scatter plot for</w:t>
            </w:r>
            <w:r>
              <w:t xml:space="preserve"> </w:t>
            </w:r>
            <w:r>
              <w:t xml:space="preserve">‘wealth redistribution’</w:t>
            </w:r>
            <w:r>
              <w:t xml:space="preserve"> </w:t>
            </w:r>
            <w:r>
              <w:t xml:space="preserve">by age and study</w:t>
            </w:r>
          </w:p>
          <w:bookmarkEnd w:id="44"/>
        </w:tc>
      </w:tr>
    </w:tbl>
    <w:bookmarkEnd w:id="45"/>
    <w:bookmarkStart w:id="54" w:name="social-class"/>
    <w:p>
      <w:pPr>
        <w:pStyle w:val="Heading2"/>
      </w:pPr>
      <w:r>
        <w:t xml:space="preserve">2.3 Social class</w:t>
      </w:r>
    </w:p>
    <w:p>
      <w:pPr>
        <w:pStyle w:val="FirstParagraph"/>
      </w:pPr>
      <w:hyperlink w:anchor="fig-class5">
        <w:r>
          <w:rPr>
            <w:rStyle w:val="Hyperlink"/>
          </w:rPr>
          <w:t xml:space="preserve">Figure 4</w:t>
        </w:r>
      </w:hyperlink>
      <w:r>
        <w:t xml:space="preserve"> </w:t>
      </w:r>
      <w:r>
        <w:t xml:space="preserve">suggests a negative relationship between social class and the main ESS response variable. The higher the social class, the lower the support for the government to reduce income differences.</w:t>
      </w:r>
    </w:p>
    <w:p>
      <w:pPr>
        <w:pStyle w:val="Heading3"/>
      </w:pPr>
      <w:r>
        <w:t xml:space="preserve">5 groups</w:t>
      </w:r>
    </w:p>
    <w:tbl>
      <w:tblPr>
        <w:tblStyle w:val="Table"/>
        <w:tblW w:type="pct" w:w="5000"/>
        <w:tblLayout w:type="fixed"/>
        <w:tblLook w:firstRow="0" w:lastRow="0" w:firstColumn="0" w:lastColumn="0" w:noHBand="0" w:noVBand="0" w:val="0000"/>
      </w:tblPr>
      <w:tblGrid>
        <w:gridCol w:w="7920"/>
      </w:tblGrid>
      <w:tr>
        <w:tc>
          <w:tcPr/>
          <w:bookmarkStart w:id="49" w:name="fig-class5"/>
          <w:p>
            <w:pPr>
              <w:pStyle w:val="Compact"/>
              <w:jc w:val="center"/>
            </w:pPr>
            <w:r>
              <w:drawing>
                <wp:inline>
                  <wp:extent cx="4620126" cy="3696101"/>
                  <wp:effectExtent b="0" l="0" r="0" t="0"/>
                  <wp:docPr descr="" title="" id="47" name="Picture"/>
                  <a:graphic>
                    <a:graphicData uri="http://schemas.openxmlformats.org/drawingml/2006/picture">
                      <pic:pic>
                        <pic:nvPicPr>
                          <pic:cNvPr descr="report_files/figure-docx/fig-class5-1.png" id="48" name="Picture"/>
                          <pic:cNvPicPr>
                            <a:picLocks noChangeArrowheads="1" noChangeAspect="1"/>
                          </pic:cNvPicPr>
                        </pic:nvPicPr>
                        <pic:blipFill>
                          <a:blip r:embed="rId4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Scatter plot for</w:t>
            </w:r>
            <w:r>
              <w:t xml:space="preserve"> </w:t>
            </w:r>
            <w:r>
              <w:t xml:space="preserve">‘income differences’</w:t>
            </w:r>
            <w:r>
              <w:t xml:space="preserve"> </w:t>
            </w:r>
            <w:r>
              <w:t xml:space="preserve">by social class (5 groups) and round</w:t>
            </w:r>
          </w:p>
          <w:bookmarkEnd w:id="49"/>
        </w:tc>
      </w:tr>
    </w:tbl>
    <w:p>
      <w:pPr>
        <w:pStyle w:val="Heading3"/>
      </w:pPr>
      <w:r>
        <w:t xml:space="preserve">16 groups</w:t>
      </w:r>
    </w:p>
    <w:tbl>
      <w:tblPr>
        <w:tblStyle w:val="Table"/>
        <w:tblW w:type="pct" w:w="5000"/>
        <w:tblLayout w:type="fixed"/>
        <w:tblLook w:firstRow="0" w:lastRow="0" w:firstColumn="0" w:lastColumn="0" w:noHBand="0" w:noVBand="0" w:val="0000"/>
      </w:tblPr>
      <w:tblGrid>
        <w:gridCol w:w="7920"/>
      </w:tblGrid>
      <w:tr>
        <w:tc>
          <w:tcPr/>
          <w:bookmarkStart w:id="53" w:name="fig-class16"/>
          <w:p>
            <w:pPr>
              <w:pStyle w:val="Compact"/>
              <w:jc w:val="center"/>
            </w:pPr>
            <w:r>
              <w:drawing>
                <wp:inline>
                  <wp:extent cx="4620126" cy="3696101"/>
                  <wp:effectExtent b="0" l="0" r="0" t="0"/>
                  <wp:docPr descr="" title="" id="51" name="Picture"/>
                  <a:graphic>
                    <a:graphicData uri="http://schemas.openxmlformats.org/drawingml/2006/picture">
                      <pic:pic>
                        <pic:nvPicPr>
                          <pic:cNvPr descr="report_files/figure-docx/fig-class16-1.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Scatter plot for</w:t>
            </w:r>
            <w:r>
              <w:t xml:space="preserve"> </w:t>
            </w:r>
            <w:r>
              <w:t xml:space="preserve">‘income differences’</w:t>
            </w:r>
            <w:r>
              <w:t xml:space="preserve"> </w:t>
            </w:r>
            <w:r>
              <w:t xml:space="preserve">by social class (16 groups) and round</w:t>
            </w:r>
          </w:p>
          <w:bookmarkEnd w:id="53"/>
        </w:tc>
      </w:tr>
    </w:tbl>
    <w:bookmarkEnd w:id="54"/>
    <w:bookmarkStart w:id="55" w:name="multivariate"/>
    <w:p>
      <w:pPr>
        <w:pStyle w:val="Heading2"/>
      </w:pPr>
      <w:r>
        <w:t xml:space="preserve">2.4 Multivariate</w:t>
      </w:r>
    </w:p>
    <w:p>
      <w:pPr>
        <w:pStyle w:val="FirstParagraph"/>
      </w:pPr>
      <w:r>
        <w:t xml:space="preserve">The</w:t>
      </w:r>
      <w:r>
        <w:t xml:space="preserve"> </w:t>
      </w:r>
      <w:r>
        <w:rPr>
          <w:b/>
          <w:bCs/>
        </w:rPr>
        <w:t xml:space="preserve">?@tbl-multiv-gincdif</w:t>
      </w:r>
      <w:r>
        <w:t xml:space="preserve"> </w:t>
      </w:r>
      <w:r>
        <w:t xml:space="preserve">below shows the coefficients of an OLS regression model on the support for government reducing differences in income levels. The overall explanatory power of the model is low. The effect of age seems to be neglectable. Both the social class and subjective income suggest that respondents in more precarious economic situation tend to be more favourable of the government reducing income differences.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Beta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of respondent, calculated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0.03, 0.08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answer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-0.38, 0.50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Final Oesch class position - 5 classes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Higher-grade service class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Lower-grade service class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0.10, 0.19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 business owners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0.01, 0.10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Skilled workers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0.18, 0.26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Unskilled workers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0.27, 0.35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Feeling about household's income nowadays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Living comfortably on present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Coping on present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0.13, 0.19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Difficult on present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0.21, 0.30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Very difficult on present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0.38, 0.51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answer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0.03, 0.63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Refusal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-0.44, 0.19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Don't know</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-0.16, 0.20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cso_unemp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-0.08, 0.04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gridSpan w:val="4"/>
          </w:tcPr>
          <w:p>
            <w:pPr>
              <w:spacing w:before="0" w:after="60"/>
              <w:keepNext/>
            </w:pPr>
            <w:r>
              <w:rPr>
                <w:rFonts w:ascii="Calibri" w:hAnsi="Calibri"/>
                <w:sz w:val="20"/>
              </w:rPr>
              <w:t xml:space="preserve">Abbreviation: CI = Confidence Interval</w:t>
            </w:r>
          </w:p>
        </w:tc>
      </w:tr>
      <w:tr>
        <w:trPr>
          <w:cantSplit/>
        </w:trPr>
        <w:tc>
          <w:tcPr>
            <w:gridSpan w:val="4"/>
          </w:tcPr>
          <w:p>
            <w:pPr>
              <w:spacing w:before="0" w:after="60"/>
              <w:keepNext/>
            </w:pPr>
            <w:r>
              <w:rPr>
                <w:rFonts w:ascii="Calibri" w:hAnsi="Calibri"/>
                <w:sz w:val="20"/>
              </w:rPr>
              <w:t xml:space="preserve">R² = 0.044; Adjusted R² = 0.043; Sigma = 0.949; Statistic = 40.0; p-value = &lt;0.001; df = 24; Log-likelihood = -30,131; AIC = 60,315; BIC = 60,521; Deviance = 18,652; Residual df = 20,720; No. Obs. = 20,745</w:t>
            </w:r>
          </w:p>
        </w:tc>
      </w:tr>
      <w:tr>
        <w:trPr>
          <w:cantSplit/>
        </w:trPr>
        <w:tc>
          <w:tcPr>
            <w:gridSpan w:val="4"/>
          </w:tcPr>
          <w:p>
            <w:pPr>
              <w:spacing w:before="0" w:after="60"/>
              <w:keepNext/>
            </w:pPr>
            <w:r>
              <w:rPr>
                <w:rFonts w:ascii="Calibri" w:hAnsi="Calibri"/>
                <w:sz w:val="20"/>
              </w:rPr>
              <w:t xml:space="default">Time fixed effects (ESS Round) omitted from the table but included in the model</w:t>
            </w:r>
          </w:p>
        </w:tc>
      </w:tr>
    </w:tbl>
    <w:bookmarkEnd w:id="55"/>
    <w:bookmarkStart w:id="64" w:name="has-the-support-changed-over-time"/>
    <w:p>
      <w:pPr>
        <w:pStyle w:val="Heading2"/>
      </w:pPr>
      <w:r>
        <w:t xml:space="preserve">2.5 Has the support changed over time?</w:t>
      </w:r>
    </w:p>
    <w:p>
      <w:pPr>
        <w:pStyle w:val="FirstParagraph"/>
      </w:pPr>
      <w:r>
        <w:t xml:space="preserve">The average level of support for income redistribution in Ireland is similar to the ones observed in other European countries. However, the average support varies substantially over time. The</w:t>
      </w:r>
      <w:r>
        <w:t xml:space="preserve"> </w:t>
      </w:r>
      <w:hyperlink w:anchor="fig-ess-time">
        <w:r>
          <w:rPr>
            <w:rStyle w:val="Hyperlink"/>
          </w:rPr>
          <w:t xml:space="preserve">Figure 6</w:t>
        </w:r>
      </w:hyperlink>
      <w:r>
        <w:t xml:space="preserve"> </w:t>
      </w:r>
      <w:r>
        <w:t xml:space="preserve">below shows the mean values for</w:t>
      </w:r>
      <w:r>
        <w:t xml:space="preserve"> </w:t>
      </w:r>
      <w:r>
        <w:t xml:space="preserve">‘Government should reduce income differences’</w:t>
      </w:r>
      <w:r>
        <w:t xml:space="preserve"> </w:t>
      </w:r>
      <w:r>
        <w:t xml:space="preserve">by round. Overall there is a stable agreement (mean = 3.8). Rounds 5-7 (2010-2014) as well as 10-11(2022-2024) show a slightly higher agreement compared to other rounds and the European average.</w:t>
      </w:r>
    </w:p>
    <w:tbl>
      <w:tblPr>
        <w:tblStyle w:val="Table"/>
        <w:tblW w:type="pct" w:w="5000"/>
        <w:tblLayout w:type="fixed"/>
        <w:tblLook w:firstRow="0" w:lastRow="0" w:firstColumn="0" w:lastColumn="0" w:noHBand="0" w:noVBand="0" w:val="0000"/>
      </w:tblPr>
      <w:tblGrid>
        <w:gridCol w:w="7920"/>
      </w:tblGrid>
      <w:tr>
        <w:tc>
          <w:tcPr/>
          <w:bookmarkStart w:id="59" w:name="fig-ess-time"/>
          <w:p>
            <w:pPr>
              <w:pStyle w:val="Compact"/>
              <w:jc w:val="center"/>
            </w:pPr>
            <w:r>
              <w:drawing>
                <wp:inline>
                  <wp:extent cx="4620126" cy="3696101"/>
                  <wp:effectExtent b="0" l="0" r="0" t="0"/>
                  <wp:docPr descr="" title="" id="57" name="Picture"/>
                  <a:graphic>
                    <a:graphicData uri="http://schemas.openxmlformats.org/drawingml/2006/picture">
                      <pic:pic>
                        <pic:nvPicPr>
                          <pic:cNvPr descr="report_files/figure-docx/fig-ess-time-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Mean values for</w:t>
            </w:r>
            <w:r>
              <w:t xml:space="preserve"> </w:t>
            </w:r>
            <w:r>
              <w:t xml:space="preserve">‘Government should reduce income differences’</w:t>
            </w:r>
            <w:r>
              <w:t xml:space="preserve"> </w:t>
            </w:r>
            <w:r>
              <w:t xml:space="preserve">by round</w:t>
            </w:r>
          </w:p>
          <w:bookmarkEnd w:id="59"/>
        </w:tc>
      </w:tr>
    </w:tbl>
    <w:p>
      <w:pPr>
        <w:pStyle w:val="BodyText"/>
      </w:pPr>
      <w:hyperlink w:anchor="fig-vs-time">
        <w:r>
          <w:rPr>
            <w:rStyle w:val="Hyperlink"/>
          </w:rPr>
          <w:t xml:space="preserve">Figure 7</w:t>
        </w:r>
      </w:hyperlink>
      <w:r>
        <w:t xml:space="preserve"> </w:t>
      </w:r>
      <w:r>
        <w:t xml:space="preserve">shows the density of responses for the scale on support for redistribution of wealth. The mean values are similar for 2014, 2019 and 2024. However, the distribution seems is less skewed in 2024 compared to 2014.</w:t>
      </w:r>
    </w:p>
    <w:tbl>
      <w:tblPr>
        <w:tblStyle w:val="Table"/>
        <w:tblW w:type="pct" w:w="5000"/>
        <w:tblLayout w:type="fixed"/>
        <w:tblLook w:firstRow="0" w:lastRow="0" w:firstColumn="0" w:lastColumn="0" w:noHBand="0" w:noVBand="0" w:val="0000"/>
      </w:tblPr>
      <w:tblGrid>
        <w:gridCol w:w="7920"/>
      </w:tblGrid>
      <w:tr>
        <w:tc>
          <w:tcPr/>
          <w:bookmarkStart w:id="63" w:name="fig-vs-time"/>
          <w:p>
            <w:pPr>
              <w:pStyle w:val="Compact"/>
              <w:jc w:val="center"/>
            </w:pPr>
            <w:r>
              <w:drawing>
                <wp:inline>
                  <wp:extent cx="4620126" cy="3696101"/>
                  <wp:effectExtent b="0" l="0" r="0" t="0"/>
                  <wp:docPr descr="" title="" id="61" name="Picture"/>
                  <a:graphic>
                    <a:graphicData uri="http://schemas.openxmlformats.org/drawingml/2006/picture">
                      <pic:pic>
                        <pic:nvPicPr>
                          <pic:cNvPr descr="report_files/figure-docx/fig-vs-time-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Density plot for</w:t>
            </w:r>
            <w:r>
              <w:t xml:space="preserve"> </w:t>
            </w:r>
            <w:r>
              <w:t xml:space="preserve">‘in favour of redistribution of wealth’</w:t>
            </w:r>
            <w:r>
              <w:t xml:space="preserve"> </w:t>
            </w:r>
            <w:r>
              <w:t xml:space="preserve">by survey year</w:t>
            </w:r>
          </w:p>
          <w:bookmarkEnd w:id="63"/>
        </w:tc>
      </w:tr>
    </w:tbl>
    <w:bookmarkEnd w:id="64"/>
    <w:bookmarkEnd w:id="65"/>
    <w:bookmarkStart w:id="104" w:name="economic-crisis-and-covid19"/>
    <w:p>
      <w:pPr>
        <w:pStyle w:val="Heading1"/>
      </w:pPr>
      <w:r>
        <w:t xml:space="preserve">3. Economic crisis and Covid19</w:t>
      </w:r>
    </w:p>
    <w:p>
      <w:pPr>
        <w:pStyle w:val="FirstParagraph"/>
      </w:pPr>
      <w:r>
        <w:t xml:space="preserve">As shown in</w:t>
      </w:r>
      <w:r>
        <w:t xml:space="preserve"> </w:t>
      </w:r>
      <w:hyperlink w:anchor="fig-ess-time">
        <w:r>
          <w:rPr>
            <w:rStyle w:val="Hyperlink"/>
          </w:rPr>
          <w:t xml:space="preserve">Figure 6</w:t>
        </w:r>
      </w:hyperlink>
      <w:r>
        <w:t xml:space="preserve">, the ESS data indicates a slightly higher average support for redistribution after the 2008 economic crisis and after the 2022 Covid19 pandemic. Evidence from a survey experiment in the USA show that participants are more willing to prioritize society’s problems when exposed to issues related to the pandemic</w:t>
      </w:r>
      <w:r>
        <w:t xml:space="preserve"> </w:t>
      </w:r>
      <w:r>
        <w:t xml:space="preserve">(</w:t>
      </w:r>
      <w:hyperlink w:anchor="ref-cappelen_solidarity_2021">
        <w:r>
          <w:rPr>
            <w:rStyle w:val="Hyperlink"/>
          </w:rPr>
          <w:t xml:space="preserve">Cappelen et al. 2021</w:t>
        </w:r>
      </w:hyperlink>
      <w:r>
        <w:t xml:space="preserve">)</w:t>
      </w:r>
      <w:r>
        <w:t xml:space="preserve">. Van Hootegem and Laenen</w:t>
      </w:r>
      <w:r>
        <w:t xml:space="preserve"> </w:t>
      </w:r>
      <w:r>
        <w:t xml:space="preserve">(</w:t>
      </w:r>
      <w:hyperlink w:anchor="ref-van_hootegem_wave_2023">
        <w:r>
          <w:rPr>
            <w:rStyle w:val="Hyperlink"/>
          </w:rPr>
          <w:t xml:space="preserve">2023</w:t>
        </w:r>
      </w:hyperlink>
      <w:r>
        <w:t xml:space="preserve">)</w:t>
      </w:r>
      <w:r>
        <w:t xml:space="preserve"> </w:t>
      </w:r>
      <w:r>
        <w:t xml:space="preserve">show that the increase in support for a universal basic income increased with the pandemic but it was short lived.</w:t>
      </w:r>
    </w:p>
    <w:p>
      <w:pPr>
        <w:pStyle w:val="BodyText"/>
      </w:pPr>
      <w:r>
        <w:t xml:space="preserve">In this section we explore further the potential impact of the pandemic on support for redistribution.</w:t>
      </w:r>
    </w:p>
    <w:bookmarkStart w:id="74" w:name="time-series"/>
    <w:p>
      <w:pPr>
        <w:pStyle w:val="Heading2"/>
      </w:pPr>
      <w:r>
        <w:t xml:space="preserve">3.1 Time series</w:t>
      </w:r>
    </w:p>
    <w:p>
      <w:pPr>
        <w:pStyle w:val="FirstParagraph"/>
      </w:pPr>
      <w:r>
        <w:rPr>
          <w:b/>
          <w:bCs/>
        </w:rPr>
        <w:t xml:space="preserve">?@tbl-multiv-gincdif</w:t>
      </w:r>
      <w:r>
        <w:t xml:space="preserve"> </w:t>
      </w:r>
      <w:r>
        <w:t xml:space="preserve">suggests that both social class and feeling about household income are significant predictors of support for redistribution.</w:t>
      </w:r>
      <w:r>
        <w:t xml:space="preserve"> </w:t>
      </w:r>
      <w:hyperlink w:anchor="fig-hincfel-time">
        <w:r>
          <w:rPr>
            <w:rStyle w:val="Hyperlink"/>
          </w:rPr>
          <w:t xml:space="preserve">Figure 8</w:t>
        </w:r>
      </w:hyperlink>
      <w:r>
        <w:t xml:space="preserve"> </w:t>
      </w:r>
      <w:r>
        <w:t xml:space="preserve">shows that the difference between subjective income groups remains stable over time, with all groups responding similar to 2008 crisis and the pandemic.</w:t>
      </w:r>
    </w:p>
    <w:tbl>
      <w:tblPr>
        <w:tblStyle w:val="Table"/>
        <w:tblW w:type="pct" w:w="5000"/>
        <w:tblLayout w:type="fixed"/>
        <w:tblLook w:firstRow="0" w:lastRow="0" w:firstColumn="0" w:lastColumn="0" w:noHBand="0" w:noVBand="0" w:val="0000"/>
      </w:tblPr>
      <w:tblGrid>
        <w:gridCol w:w="7920"/>
      </w:tblGrid>
      <w:tr>
        <w:tc>
          <w:tcPr/>
          <w:bookmarkStart w:id="69" w:name="fig-hincfel-time"/>
          <w:p>
            <w:pPr>
              <w:pStyle w:val="Compact"/>
              <w:jc w:val="center"/>
            </w:pPr>
            <w:r>
              <w:drawing>
                <wp:inline>
                  <wp:extent cx="4620126" cy="3696101"/>
                  <wp:effectExtent b="0" l="0" r="0" t="0"/>
                  <wp:docPr descr="" title="" id="67" name="Picture"/>
                  <a:graphic>
                    <a:graphicData uri="http://schemas.openxmlformats.org/drawingml/2006/picture">
                      <pic:pic>
                        <pic:nvPicPr>
                          <pic:cNvPr descr="report_files/figure-docx/fig-hincfel-time-1.png" id="68" name="Picture"/>
                          <pic:cNvPicPr>
                            <a:picLocks noChangeArrowheads="1" noChangeAspect="1"/>
                          </pic:cNvPicPr>
                        </pic:nvPicPr>
                        <pic:blipFill>
                          <a:blip r:embed="rId6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Average support for redistribution by financial situation (2002-2022)</w:t>
            </w:r>
          </w:p>
          <w:bookmarkEnd w:id="69"/>
        </w:tc>
      </w:tr>
    </w:tbl>
    <w:p>
      <w:pPr>
        <w:pStyle w:val="BodyText"/>
      </w:pPr>
      <w:r>
        <w:t xml:space="preserve">Conversely, the</w:t>
      </w:r>
      <w:r>
        <w:t xml:space="preserve"> </w:t>
      </w:r>
      <w:hyperlink w:anchor="fig-class5-time">
        <w:r>
          <w:rPr>
            <w:rStyle w:val="Hyperlink"/>
          </w:rPr>
          <w:t xml:space="preserve">Figure 9</w:t>
        </w:r>
      </w:hyperlink>
      <w:r>
        <w:t xml:space="preserve"> </w:t>
      </w:r>
      <w:r>
        <w:t xml:space="preserve">suggests that there is a slightly different pattern in response to the pandemic. There is a trajectory of increasing support for redistribution across skilled and unskilled workers since round 8 (2016). However, for lower-grade service class and small business owners, there seems to be a break in this trajectory captured in the latest wave.</w:t>
      </w:r>
    </w:p>
    <w:tbl>
      <w:tblPr>
        <w:tblStyle w:val="Table"/>
        <w:tblW w:type="pct" w:w="5000"/>
        <w:tblLayout w:type="fixed"/>
        <w:tblLook w:firstRow="0" w:lastRow="0" w:firstColumn="0" w:lastColumn="0" w:noHBand="0" w:noVBand="0" w:val="0000"/>
      </w:tblPr>
      <w:tblGrid>
        <w:gridCol w:w="7920"/>
      </w:tblGrid>
      <w:tr>
        <w:tc>
          <w:tcPr/>
          <w:bookmarkStart w:id="73" w:name="fig-class5-time"/>
          <w:p>
            <w:pPr>
              <w:pStyle w:val="Compact"/>
              <w:jc w:val="center"/>
            </w:pPr>
            <w:r>
              <w:drawing>
                <wp:inline>
                  <wp:extent cx="4620126" cy="3696101"/>
                  <wp:effectExtent b="0" l="0" r="0" t="0"/>
                  <wp:docPr descr="" title="" id="71" name="Picture"/>
                  <a:graphic>
                    <a:graphicData uri="http://schemas.openxmlformats.org/drawingml/2006/picture">
                      <pic:pic>
                        <pic:nvPicPr>
                          <pic:cNvPr descr="report_files/figure-docx/fig-class5-time-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Average support for redistribution by social class (2002-2022)</w:t>
            </w:r>
          </w:p>
          <w:bookmarkEnd w:id="73"/>
        </w:tc>
      </w:tr>
    </w:tbl>
    <w:bookmarkEnd w:id="74"/>
    <w:bookmarkStart w:id="79" w:name="job-loss"/>
    <w:p>
      <w:pPr>
        <w:pStyle w:val="Heading2"/>
      </w:pPr>
      <w:r>
        <w:t xml:space="preserve">3.2 Job loss</w:t>
      </w:r>
    </w:p>
    <w:tbl>
      <w:tblPr>
        <w:tblStyle w:val="Table"/>
        <w:tblW w:type="pct" w:w="5000"/>
        <w:tblLayout w:type="fixed"/>
        <w:tblLook w:firstRow="0" w:lastRow="0" w:firstColumn="0" w:lastColumn="0" w:noHBand="0" w:noVBand="0" w:val="0000"/>
      </w:tblPr>
      <w:tblGrid>
        <w:gridCol w:w="7920"/>
      </w:tblGrid>
      <w:tr>
        <w:tc>
          <w:tcPr/>
          <w:bookmarkStart w:id="78" w:name="fig-jobloss"/>
          <w:p>
            <w:pPr>
              <w:pStyle w:val="Compact"/>
              <w:jc w:val="center"/>
            </w:pPr>
            <w:r>
              <w:drawing>
                <wp:inline>
                  <wp:extent cx="4620126" cy="3696101"/>
                  <wp:effectExtent b="0" l="0" r="0" t="0"/>
                  <wp:docPr descr="" title="" id="76" name="Picture"/>
                  <a:graphic>
                    <a:graphicData uri="http://schemas.openxmlformats.org/drawingml/2006/picture">
                      <pic:pic>
                        <pic:nvPicPr>
                          <pic:cNvPr descr="report_files/figure-docx/fig-jobloss-1.png" id="77" name="Picture"/>
                          <pic:cNvPicPr>
                            <a:picLocks noChangeArrowheads="1" noChangeAspect="1"/>
                          </pic:cNvPicPr>
                        </pic:nvPicPr>
                        <pic:blipFill>
                          <a:blip r:embed="rId7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Average support for redistribution by social class (2002-2022)</w:t>
            </w:r>
          </w:p>
          <w:bookmarkEnd w:id="78"/>
        </w:tc>
      </w:tr>
    </w:tbl>
    <w:bookmarkEnd w:id="79"/>
    <w:bookmarkStart w:id="80" w:name="support-for-welfare-policies"/>
    <w:p>
      <w:pPr>
        <w:pStyle w:val="Heading2"/>
      </w:pPr>
      <w:r>
        <w:t xml:space="preserve">3.3 Support for welfare policies</w:t>
      </w:r>
    </w:p>
    <w:p>
      <w:pPr>
        <w:pStyle w:val="FirstParagraph"/>
      </w:pPr>
      <w:r>
        <w:t xml:space="preserve">The data analysed in this chapter refers to a special module from the European Social Survey on welfare attitudes that was fielded in 2008 (Round 4) and repeated in 2016 (Round 8) (see</w:t>
      </w:r>
      <w:r>
        <w:t xml:space="preserve"> </w:t>
      </w:r>
      <w:r>
        <w:t xml:space="preserve">Meuleman et al. (</w:t>
      </w:r>
      <w:hyperlink w:anchor="ref-meuleman_past_2018">
        <w:r>
          <w:rPr>
            <w:rStyle w:val="Hyperlink"/>
          </w:rPr>
          <w:t xml:space="preserve">2018</w:t>
        </w:r>
      </w:hyperlink>
      <w:r>
        <w:t xml:space="preserve">)</w:t>
      </w:r>
      <w:r>
        <w:t xml:space="preserve"> </w:t>
      </w:r>
      <w:r>
        <w:t xml:space="preserve">for more on this module).</w:t>
      </w:r>
    </w:p>
    <w:bookmarkEnd w:id="80"/>
    <w:bookmarkStart w:id="87" w:name="large-differences-acceptable"/>
    <w:p>
      <w:pPr>
        <w:pStyle w:val="Heading2"/>
      </w:pPr>
      <w:r>
        <w:t xml:space="preserve">3.4 Large differences acceptable</w:t>
      </w:r>
    </w:p>
    <w:p>
      <w:pPr>
        <w:pStyle w:val="FirstParagraph"/>
      </w:pPr>
      <w:r>
        <w:t xml:space="preserve">In this question, respondents were asked to what extent they agree with the following statement: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C:\Users\daniel.capistrano\AppData\Local\Programs\Quarto\share\formats\docx\note.png" id="8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wording</w:t>
            </w:r>
          </w:p>
        </w:tc>
      </w:tr>
      <w:tr>
        <w:trPr>
          <w:cantSplit/>
        </w:trPr>
        <w:tc>
          <w:tcPr>
            <w:tcMar>
              <w:top w:w="108" w:type="dxa"/>
              <w:bottom w:w="108" w:type="dxa"/>
            </w:tcMar>
          </w:tcPr>
          <w:p>
            <w:pPr>
              <w:pStyle w:val="BodyText"/>
            </w:pPr>
            <w:pPr>
              <w:spacing w:before="16" w:after="16"/>
            </w:pPr>
            <w:r>
              <w:t xml:space="preserve">‘Large differences in people’s incomes are acceptable to properly reward differences in talents and efforts’</w:t>
            </w:r>
          </w:p>
        </w:tc>
      </w:tr>
    </w:tbl>
    <w:p>
      <w:pPr>
        <w:pStyle w:val="BodyText"/>
      </w:pPr>
      <w:r>
        <w:t xml:space="preserve">The distribution appears to be similar for 2008 and 2016, with a slight reduction in the proportion of those who</w:t>
      </w:r>
      <w:r>
        <w:t xml:space="preserve"> </w:t>
      </w:r>
      <w:r>
        <w:t xml:space="preserve">“agree”</w:t>
      </w:r>
      <w:r>
        <w:t xml:space="preserve"> </w:t>
      </w:r>
      <w:r>
        <w:t xml:space="preserve">or</w:t>
      </w:r>
      <w:r>
        <w:t xml:space="preserve"> </w:t>
      </w:r>
      <w:r>
        <w:t xml:space="preserve">“agree strongly”</w:t>
      </w:r>
      <w:r>
        <w:t xml:space="preserve">.</w:t>
      </w:r>
    </w:p>
    <w:p>
      <w:pPr>
        <w:pStyle w:val="SourceCode"/>
      </w:pPr>
      <w:r>
        <w:rPr>
          <w:rStyle w:val="VerbatimChar"/>
        </w:rPr>
        <w:t xml:space="preserve"># A tibble: 17 × 3</w:t>
      </w:r>
      <w:r>
        <w:br/>
      </w:r>
      <w:r>
        <w:rPr>
          <w:rStyle w:val="VerbatimChar"/>
        </w:rPr>
        <w:t xml:space="preserve">   class5                          class16                                     n</w:t>
      </w:r>
      <w:r>
        <w:br/>
      </w:r>
      <w:r>
        <w:rPr>
          <w:rStyle w:val="VerbatimChar"/>
        </w:rPr>
        <w:t xml:space="preserve">   &lt;dbl+lbl&gt;                       &lt;dbl+lbl&gt;                               &lt;int&gt;</w:t>
      </w:r>
      <w:r>
        <w:br/>
      </w:r>
      <w:r>
        <w:rPr>
          <w:rStyle w:val="VerbatimChar"/>
        </w:rPr>
        <w:t xml:space="preserve"> 1  1 [Higher-grade service class]  1 [Large employers]                      164</w:t>
      </w:r>
      <w:r>
        <w:br/>
      </w:r>
      <w:r>
        <w:rPr>
          <w:rStyle w:val="VerbatimChar"/>
        </w:rPr>
        <w:t xml:space="preserve"> 2  1 [Higher-grade service class]  2 [Self-employed professionals]          359</w:t>
      </w:r>
      <w:r>
        <w:br/>
      </w:r>
      <w:r>
        <w:rPr>
          <w:rStyle w:val="VerbatimChar"/>
        </w:rPr>
        <w:t xml:space="preserve"> 3  1 [Higher-grade service class]  5 [Technical experts]                    617</w:t>
      </w:r>
      <w:r>
        <w:br/>
      </w:r>
      <w:r>
        <w:rPr>
          <w:rStyle w:val="VerbatimChar"/>
        </w:rPr>
        <w:t xml:space="preserve"> 4  1 [Higher-grade service class]  9 [Higher-grade managers and administ…  1549</w:t>
      </w:r>
      <w:r>
        <w:br/>
      </w:r>
      <w:r>
        <w:rPr>
          <w:rStyle w:val="VerbatimChar"/>
        </w:rPr>
        <w:t xml:space="preserve"> 5  1 [Higher-grade service class] 13 [Socio-cultural professionals]         933</w:t>
      </w:r>
      <w:r>
        <w:br/>
      </w:r>
      <w:r>
        <w:rPr>
          <w:rStyle w:val="VerbatimChar"/>
        </w:rPr>
        <w:t xml:space="preserve"> 6  2 [Lower-grade service class]   6 [Technicians]                          489</w:t>
      </w:r>
      <w:r>
        <w:br/>
      </w:r>
      <w:r>
        <w:rPr>
          <w:rStyle w:val="VerbatimChar"/>
        </w:rPr>
        <w:t xml:space="preserve"> 7  2 [Lower-grade service class]  10 [Lower-grade managers and administr…  1392</w:t>
      </w:r>
      <w:r>
        <w:br/>
      </w:r>
      <w:r>
        <w:rPr>
          <w:rStyle w:val="VerbatimChar"/>
        </w:rPr>
        <w:t xml:space="preserve"> 8  2 [Lower-grade service class]  14 [Socio-cultural semi-professionals]   1487</w:t>
      </w:r>
      <w:r>
        <w:br/>
      </w:r>
      <w:r>
        <w:rPr>
          <w:rStyle w:val="VerbatimChar"/>
        </w:rPr>
        <w:t xml:space="preserve"> 9  3 [Small business owners]       3 [Small business owners with employe…  1008</w:t>
      </w:r>
      <w:r>
        <w:br/>
      </w:r>
      <w:r>
        <w:rPr>
          <w:rStyle w:val="VerbatimChar"/>
        </w:rPr>
        <w:t xml:space="preserve">10  3 [Small business owners]       4 [Small business owners without empl…  1860</w:t>
      </w:r>
      <w:r>
        <w:br/>
      </w:r>
      <w:r>
        <w:rPr>
          <w:rStyle w:val="VerbatimChar"/>
        </w:rPr>
        <w:t xml:space="preserve">11  4 [Skilled workers]             7 [Skilled manual]                      1974</w:t>
      </w:r>
      <w:r>
        <w:br/>
      </w:r>
      <w:r>
        <w:rPr>
          <w:rStyle w:val="VerbatimChar"/>
        </w:rPr>
        <w:t xml:space="preserve">12  4 [Skilled workers]            11 [Skilled clerks]                      2074</w:t>
      </w:r>
      <w:r>
        <w:br/>
      </w:r>
      <w:r>
        <w:rPr>
          <w:rStyle w:val="VerbatimChar"/>
        </w:rPr>
        <w:t xml:space="preserve">13  4 [Skilled workers]            15 [Skilled service]                     3102</w:t>
      </w:r>
      <w:r>
        <w:br/>
      </w:r>
      <w:r>
        <w:rPr>
          <w:rStyle w:val="VerbatimChar"/>
        </w:rPr>
        <w:t xml:space="preserve">14  5 [Unskilled workers]           8 [Low-skilled manual]                  1903</w:t>
      </w:r>
      <w:r>
        <w:br/>
      </w:r>
      <w:r>
        <w:rPr>
          <w:rStyle w:val="VerbatimChar"/>
        </w:rPr>
        <w:t xml:space="preserve">15  5 [Unskilled workers]          12 [Unskilled clerks]                     295</w:t>
      </w:r>
      <w:r>
        <w:br/>
      </w:r>
      <w:r>
        <w:rPr>
          <w:rStyle w:val="VerbatimChar"/>
        </w:rPr>
        <w:t xml:space="preserve">16  5 [Unskilled workers]          16 [Low-skilled service]                 2289</w:t>
      </w:r>
      <w:r>
        <w:br/>
      </w:r>
      <w:r>
        <w:rPr>
          <w:rStyle w:val="VerbatimChar"/>
        </w:rPr>
        <w:t xml:space="preserve">17 NA                              NA                                       2755</w:t>
      </w:r>
    </w:p>
    <w:tbl>
      <w:tblPr>
        <w:tblStyle w:val="Table"/>
        <w:tblW w:type="pct" w:w="5000"/>
        <w:tblLayout w:type="fixed"/>
        <w:tblLook w:firstRow="0" w:lastRow="0" w:firstColumn="0" w:lastColumn="0" w:noHBand="0" w:noVBand="0" w:val="0000"/>
      </w:tblPr>
      <w:tblGrid>
        <w:gridCol w:w="7920"/>
      </w:tblGrid>
      <w:tr>
        <w:tc>
          <w:tcPr/>
          <w:bookmarkStart w:id="86" w:name="fig-large-diff"/>
          <w:p>
            <w:pPr>
              <w:pStyle w:val="Compact"/>
              <w:jc w:val="center"/>
            </w:pPr>
            <w:r>
              <w:drawing>
                <wp:inline>
                  <wp:extent cx="4620126" cy="3696101"/>
                  <wp:effectExtent b="0" l="0" r="0" t="0"/>
                  <wp:docPr descr="" title="" id="84" name="Picture"/>
                  <a:graphic>
                    <a:graphicData uri="http://schemas.openxmlformats.org/drawingml/2006/picture">
                      <pic:pic>
                        <pic:nvPicPr>
                          <pic:cNvPr descr="report_files/figure-docx/fig-large-diff-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Distribution of</w:t>
            </w:r>
            <w:r>
              <w:t xml:space="preserve"> </w:t>
            </w:r>
            <w:r>
              <w:t xml:space="preserve">‘Large differences acceptable’</w:t>
            </w:r>
            <w:r>
              <w:t xml:space="preserve"> </w:t>
            </w:r>
            <w:r>
              <w:t xml:space="preserve">(2008 and 2016)</w:t>
            </w:r>
          </w:p>
          <w:bookmarkEnd w:id="86"/>
        </w:tc>
      </w:tr>
    </w:tbl>
    <w:p>
      <w:pPr>
        <w:pStyle w:val="BodyText"/>
      </w:pPr>
      <w:r>
        <w:t xml:space="preserve">A multivariate analysis with the same explanatory variables from the model in</w:t>
      </w:r>
      <w:r>
        <w:t xml:space="preserve"> </w:t>
      </w:r>
      <w:r>
        <w:rPr>
          <w:b/>
          <w:bCs/>
        </w:rPr>
        <w:t xml:space="preserve">?@tbl-multiv-gincdif</w:t>
      </w:r>
      <w:r>
        <w:t xml:space="preserve"> </w:t>
      </w:r>
      <w:r>
        <w:t xml:space="preserve">suggests that gender and class are not statistically significant predictors. However, respondents with worse financial situation tend to disagree more with this statement.</w:t>
      </w:r>
    </w:p>
    <w:bookmarkEnd w:id="87"/>
    <w:bookmarkStart w:id="94" w:name="deservingness"/>
    <w:p>
      <w:pPr>
        <w:pStyle w:val="Heading2"/>
      </w:pPr>
      <w:r>
        <w:t xml:space="preserve">3.5 Deservingness</w:t>
      </w:r>
    </w:p>
    <w:p>
      <w:pPr>
        <w:pStyle w:val="FirstParagraph"/>
      </w:pPr>
      <w:r>
        <w:t xml:space="preserve">In this question, respondents were asked how much responsibility the government should have in relation to the following groups: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C:\Users\daniel.capistrano\AppData\Local\Programs\Quarto\share\formats\docx\note.png" id="8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wording</w:t>
            </w:r>
          </w:p>
        </w:tc>
      </w:tr>
      <w:tr>
        <w:trPr>
          <w:cantSplit/>
        </w:trPr>
        <w:tc>
          <w:tcPr>
            <w:tcMar>
              <w:top w:w="108" w:type="dxa"/>
              <w:bottom w:w="108" w:type="dxa"/>
            </w:tcMar>
          </w:tcPr>
          <w:p>
            <w:pPr>
              <w:pStyle w:val="BodyText"/>
            </w:pPr>
            <w:pPr>
              <w:spacing w:before="16"/>
            </w:pPr>
            <w:r>
              <w:t xml:space="preserve">People have different views on what the responsibilities of governments should or should not be. For each of the tasks I read out please tell me on a score of 0-10 how much responsibility you think governments should have. 0 means it should not be governments’ responsibility at all and 10 means it should be entirely governments’ responsibility</w:t>
            </w:r>
          </w:p>
          <w:p>
            <w:pPr>
              <w:pStyle w:val="BodyText"/>
            </w:pPr>
            <w:r>
              <w:t xml:space="preserve">“… ensure sufficient child care services for working parents”</w:t>
            </w:r>
          </w:p>
          <w:p>
            <w:pPr>
              <w:pStyle w:val="BodyText"/>
            </w:pPr>
            <w:r>
              <w:t xml:space="preserve">“… ensure a reasonable standard of living for the old”</w:t>
            </w:r>
          </w:p>
          <w:p>
            <w:pPr>
              <w:pStyle w:val="BodyText"/>
            </w:pPr>
            <w:pPr>
              <w:spacing w:after="16"/>
            </w:pPr>
            <w:r>
              <w:t xml:space="preserve">“…ensure a reasonable standard of living for the unemployed”</w:t>
            </w:r>
          </w:p>
        </w:tc>
      </w:tr>
    </w:tbl>
    <w:p>
      <w:pPr>
        <w:pStyle w:val="BodyText"/>
      </w:pPr>
      <w:r>
        <w:t xml:space="preserve">In the</w:t>
      </w:r>
      <w:r>
        <w:t xml:space="preserve"> </w:t>
      </w:r>
      <w:hyperlink w:anchor="fig-deservingness">
        <w:r>
          <w:rPr>
            <w:rStyle w:val="Hyperlink"/>
          </w:rPr>
          <w:t xml:space="preserve">Figure 12</w:t>
        </w:r>
      </w:hyperlink>
      <w:r>
        <w:t xml:space="preserve">, higher values denote higher government responsibility. On average respondents believe that the government should be more responsible for the old compared to working parents and unemployed. However, there was a reduction in this prioritisation for governments’ responsibility in relation to older citizens and unemployed and increase in the average prioritisation for working parents.</w:t>
      </w:r>
    </w:p>
    <w:tbl>
      <w:tblPr>
        <w:tblStyle w:val="Table"/>
        <w:tblW w:type="pct" w:w="5000"/>
        <w:tblLayout w:type="fixed"/>
        <w:tblLook w:firstRow="0" w:lastRow="0" w:firstColumn="0" w:lastColumn="0" w:noHBand="0" w:noVBand="0" w:val="0000"/>
      </w:tblPr>
      <w:tblGrid>
        <w:gridCol w:w="7920"/>
      </w:tblGrid>
      <w:tr>
        <w:tc>
          <w:tcPr/>
          <w:bookmarkStart w:id="93" w:name="fig-deservingness"/>
          <w:p>
            <w:pPr>
              <w:pStyle w:val="Compact"/>
              <w:jc w:val="center"/>
            </w:pPr>
            <w:r>
              <w:drawing>
                <wp:inline>
                  <wp:extent cx="4620126" cy="3696101"/>
                  <wp:effectExtent b="0" l="0" r="0" t="0"/>
                  <wp:docPr descr="" title="" id="91" name="Picture"/>
                  <a:graphic>
                    <a:graphicData uri="http://schemas.openxmlformats.org/drawingml/2006/picture">
                      <pic:pic>
                        <pic:nvPicPr>
                          <pic:cNvPr descr="report_files/figure-docx/fig-deservingness-1.png" id="92" name="Picture"/>
                          <pic:cNvPicPr>
                            <a:picLocks noChangeArrowheads="1" noChangeAspect="1"/>
                          </pic:cNvPicPr>
                        </pic:nvPicPr>
                        <pic:blipFill>
                          <a:blip r:embed="rId9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Mean values for deservingness of government support by group and round</w:t>
            </w:r>
          </w:p>
          <w:bookmarkEnd w:id="93"/>
        </w:tc>
      </w:tr>
    </w:tbl>
    <w:bookmarkEnd w:id="94"/>
    <w:bookmarkStart w:id="103" w:name="beliefs-about-social-benefits"/>
    <w:p>
      <w:pPr>
        <w:pStyle w:val="Heading2"/>
      </w:pPr>
      <w:r>
        <w:t xml:space="preserve">3.6 Beliefs about social benefits</w:t>
      </w:r>
    </w:p>
    <w:p>
      <w:pPr>
        <w:pStyle w:val="FirstParagraph"/>
      </w:pPr>
      <w:r>
        <w:t xml:space="preserve">The module also included questions in relation to beliefs about the consequences of social benefits and services: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C:\Users\daniel.capistrano\AppData\Local\Programs\Quarto\share\formats\docx\note.png" id="9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wording</w:t>
            </w:r>
          </w:p>
        </w:tc>
      </w:tr>
      <w:tr>
        <w:trPr>
          <w:cantSplit/>
        </w:trPr>
        <w:tc>
          <w:tcPr>
            <w:tcMar>
              <w:top w:w="108" w:type="dxa"/>
              <w:bottom w:w="108" w:type="dxa"/>
            </w:tcMar>
          </w:tcPr>
          <w:p>
            <w:pPr>
              <w:pStyle w:val="BodyText"/>
            </w:pPr>
            <w:pPr>
              <w:spacing w:before="16"/>
            </w:pPr>
            <w:r>
              <w:t xml:space="preserve">Using this card please tell me to what extent you agree or disagree that social benefits and services in [country]…</w:t>
            </w:r>
          </w:p>
          <w:p>
            <w:pPr>
              <w:pStyle w:val="BodyText"/>
            </w:pPr>
            <w:r>
              <w:t xml:space="preserve">“…lead to a more equal society?”</w:t>
            </w:r>
          </w:p>
          <w:p>
            <w:pPr>
              <w:pStyle w:val="BodyText"/>
            </w:pPr>
            <w:r>
              <w:t xml:space="preserve">“… make people lazy?”</w:t>
            </w:r>
          </w:p>
          <w:p>
            <w:pPr>
              <w:pStyle w:val="BodyText"/>
            </w:pPr>
            <w:r>
              <w:t xml:space="preserve">“…make people less willing care for one another?”</w:t>
            </w:r>
          </w:p>
          <w:p>
            <w:pPr>
              <w:pStyle w:val="BodyText"/>
            </w:pPr>
            <w:r>
              <w:t xml:space="preserve">“…prevent widespread poverty”</w:t>
            </w:r>
          </w:p>
          <w:p>
            <w:pPr>
              <w:pStyle w:val="BodyText"/>
            </w:pPr>
            <w:pPr>
              <w:spacing w:after="16"/>
            </w:pPr>
            <w:r>
              <w:t xml:space="preserve">“…place too great strain on economy”</w:t>
            </w:r>
          </w:p>
        </w:tc>
      </w:tr>
    </w:tbl>
    <w:p>
      <w:pPr>
        <w:pStyle w:val="BodyText"/>
      </w:pPr>
      <w:r>
        <w:t xml:space="preserve">The average level of agreement remains similar comparing 2008 and 2016. The only exception is the average for</w:t>
      </w:r>
      <w:r>
        <w:t xml:space="preserve"> </w:t>
      </w:r>
      <w:r>
        <w:t xml:space="preserve">“social benefits place too great strain on economy”</w:t>
      </w:r>
      <w:r>
        <w:t xml:space="preserve">, which oberved a significant reduction in the level of agreement, as shown in</w:t>
      </w:r>
      <w:r>
        <w:t xml:space="preserve"> </w:t>
      </w:r>
      <w:hyperlink w:anchor="fig-benefits">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0" w:name="fig-benefits"/>
          <w:p>
            <w:pPr>
              <w:pStyle w:val="Compact"/>
              <w:jc w:val="center"/>
            </w:pPr>
            <w:r>
              <w:drawing>
                <wp:inline>
                  <wp:extent cx="4620126" cy="3696101"/>
                  <wp:effectExtent b="0" l="0" r="0" t="0"/>
                  <wp:docPr descr="" title="" id="98" name="Picture"/>
                  <a:graphic>
                    <a:graphicData uri="http://schemas.openxmlformats.org/drawingml/2006/picture">
                      <pic:pic>
                        <pic:nvPicPr>
                          <pic:cNvPr descr="report_files/figure-docx/fig-benefits-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Mean values for beliefs in relation to social benefits by round</w:t>
            </w:r>
          </w:p>
          <w:bookmarkEnd w:id="100"/>
        </w:tc>
      </w:tr>
    </w:tbl>
    <w:bookmarkStart w:id="102" w:name="pca"/>
    <w:p>
      <w:pPr>
        <w:pStyle w:val="Heading3"/>
      </w:pPr>
      <w:r>
        <w:t xml:space="preserve">3.6.1 PCA</w:t>
      </w:r>
    </w:p>
    <w:p>
      <w:pPr>
        <w:pStyle w:val="FirstParagraph"/>
      </w:pPr>
      <w:r>
        <w:t xml:space="preserve">A Principal Components Analysis indicate that these five variables can be reduced to the following two latent dimensions named arbitrarily:</w:t>
      </w:r>
    </w:p>
    <w:p>
      <w:pPr>
        <w:pStyle w:val="Compact"/>
        <w:numPr>
          <w:ilvl w:val="0"/>
          <w:numId w:val="1005"/>
        </w:numPr>
      </w:pPr>
      <w:r>
        <w:rPr>
          <w:b/>
          <w:bCs/>
        </w:rPr>
        <w:t xml:space="preserve">Protective</w:t>
      </w:r>
      <w:r>
        <w:t xml:space="preserve"> </w:t>
      </w:r>
      <w:r>
        <w:t xml:space="preserve">(PC1):</w:t>
      </w:r>
      <w:r>
        <w:t xml:space="preserve"> </w:t>
      </w:r>
      <w:r>
        <w:t xml:space="preserve">“Lead to equal society”</w:t>
      </w:r>
      <w:r>
        <w:t xml:space="preserve"> </w:t>
      </w:r>
      <w:r>
        <w:t xml:space="preserve">and</w:t>
      </w:r>
      <w:r>
        <w:t xml:space="preserve"> </w:t>
      </w:r>
      <w:r>
        <w:t xml:space="preserve">“Prevent poverty”</w:t>
      </w:r>
      <w:r>
        <w:t xml:space="preserve">;</w:t>
      </w:r>
      <w:r>
        <w:br/>
      </w:r>
    </w:p>
    <w:p>
      <w:pPr>
        <w:pStyle w:val="Compact"/>
        <w:numPr>
          <w:ilvl w:val="0"/>
          <w:numId w:val="1005"/>
        </w:numPr>
      </w:pPr>
      <w:r>
        <w:rPr>
          <w:b/>
          <w:bCs/>
        </w:rPr>
        <w:t xml:space="preserve">Disincentive</w:t>
      </w:r>
      <w:r>
        <w:t xml:space="preserve"> </w:t>
      </w:r>
      <w:r>
        <w:t xml:space="preserve">(PC2):</w:t>
      </w:r>
      <w:r>
        <w:t xml:space="preserve"> </w:t>
      </w:r>
      <w:r>
        <w:t xml:space="preserve">“Make people lazy”</w:t>
      </w:r>
      <w:r>
        <w:t xml:space="preserve"> </w:t>
      </w:r>
      <w:r>
        <w:t xml:space="preserve">and</w:t>
      </w:r>
      <w:r>
        <w:t xml:space="preserve"> </w:t>
      </w:r>
      <w:r>
        <w:t xml:space="preserve">“Make people less willing to care”</w:t>
      </w:r>
      <w:r>
        <w:t xml:space="preserve">, and</w:t>
      </w:r>
      <w:r>
        <w:t xml:space="preserve"> </w:t>
      </w:r>
      <w:r>
        <w:t xml:space="preserve">“Put strain on economy”</w:t>
      </w:r>
      <w:r>
        <w:t xml:space="preserve">.</w:t>
      </w:r>
    </w:p>
    <w:p>
      <w:pPr>
        <w:pStyle w:val="FirstParagraph"/>
      </w:pPr>
      <w:r>
        <w:t xml:space="preserve">The variables were aggregated within each dimension using the mean value of the non-missing answers. The</w:t>
      </w:r>
      <w:r>
        <w:t xml:space="preserve"> </w:t>
      </w:r>
      <w:hyperlink w:anchor="tbl-multiv-beliefs">
        <w:r>
          <w:rPr>
            <w:rStyle w:val="Hyperlink"/>
          </w:rPr>
          <w:t xml:space="preserve">Table 2</w:t>
        </w:r>
      </w:hyperlink>
      <w:r>
        <w:t xml:space="preserve"> </w:t>
      </w:r>
      <w:r>
        <w:t xml:space="preserve">below shows the coefficients of two OLS explanatory models for these two dimensions.</w:t>
      </w:r>
    </w:p>
    <w:p>
      <w:pPr>
        <w:pStyle w:val="BodyText"/>
      </w:pPr>
      <w:r>
        <w:t xml:space="preserve">The first model indicates that female respondents tend to provide a slightly lower score on the protective dimension of beliefs about social benefits. None of the other predictors included in the model are statistically significant.</w:t>
      </w:r>
    </w:p>
    <w:p>
      <w:pPr>
        <w:pStyle w:val="BodyText"/>
      </w:pPr>
      <w:r>
        <w:t xml:space="preserve">The second model suggests that the group of</w:t>
      </w:r>
      <w:r>
        <w:t xml:space="preserve"> </w:t>
      </w:r>
      <w:r>
        <w:t xml:space="preserve">“small business owners”</w:t>
      </w:r>
      <w:r>
        <w:t xml:space="preserve"> </w:t>
      </w:r>
      <w:r>
        <w:t xml:space="preserve">and</w:t>
      </w:r>
      <w:r>
        <w:t xml:space="preserve"> </w:t>
      </w:r>
      <w:r>
        <w:t xml:space="preserve">“skilled workers”</w:t>
      </w:r>
      <w:r>
        <w:t xml:space="preserve"> </w:t>
      </w:r>
      <w:r>
        <w:t xml:space="preserve">have higher scores compared to respondents of other social classes. In addition, respondents with worse self-reported financial situation tend to disagree more with beliefs related to disincentive dimension of social beliefs.</w:t>
      </w:r>
    </w:p>
    <w:p>
      <w:pPr>
        <w:sectPr/>
      </w:pPr>
    </w:p>
    <w:tbl>
      <w:tblPr>
        <w:tblStyle w:val="Table"/>
        <w:tblW w:type="pct" w:w="5000"/>
        <w:tblLayout w:type="fixed"/>
        <w:tblLook w:firstRow="0" w:lastRow="0" w:firstColumn="0" w:lastColumn="0" w:noHBand="0" w:noVBand="0" w:val="0000"/>
      </w:tblPr>
      <w:tblGrid>
        <w:gridCol w:w="7920"/>
      </w:tblGrid>
      <w:tr>
        <w:tc>
          <w:tcPr/>
          <w:bookmarkStart w:id="101" w:name="tbl-multiv-beliefs"/>
          <w:p>
            <w:pPr>
              <w:jc w:val="center"/>
            </w:pPr>
            <w:pPr>
              <w:jc w:val="start"/>
              <w:spacing w:before="200"/>
              <w:pStyle w:val="ImageCaption"/>
            </w:pPr>
            <w:r>
              <w:t xml:space="preserve">Table 2: OLS regression coefficients for</w:t>
            </w:r>
            <w:r>
              <w:t xml:space="preserve"> </w:t>
            </w:r>
            <w:r>
              <w:t xml:space="preserve">‘beliefs about social benefits’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Protective</w:t>
                  </w:r>
                </w:p>
              </w:tc>
              <w:tc>
                <w:tcPr>
                  <w:tcBorders>
                    <w:top w:val="single" w:sz="16" w:space="0" w:color="D3D3D3"/>
                    <w:bottom w:val="single" w:sz="16" w:space="0" w:color="D3D3D3"/>
                    <w:end w:val="single" w:space="0" w:color="D3D3D3"/>
                  </w:tcBorders>
                  <w:gridSpan w:val="3"/>
                </w:tcPr>
                <w:p>
                  <w:pPr>
                    <w:spacing w:before="0" w:after="60"/>
                    <w:keepNext/>
                    <w:jc w:val="center"/>
                  </w:pPr>
                  <w:r>
                    <w:rPr>
                      <w:b w:val="true"/>
                      <w:rFonts w:ascii="Calibri" w:hAnsi="Calibri"/>
                      <w:sz w:val="20"/>
                    </w:rPr>
                    <w:t xml:space="preserve">Disincentive</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tcBorders>
                </w:tcPr>
                <w:p>
                  <w:pPr>
                    <w:spacing w:before="0" w:after="60"/>
                    <w:keepNext/>
                    <w:jc w:val="center"/>
                  </w:pPr>
                  <w:r>
                    <w:rPr>
                      <w:b w:val="true"/>
                      <w:rFonts w:ascii="Calibri" w:hAnsi="Calibri"/>
                      <w:sz w:val="20"/>
                    </w:rPr>
                    <w:t xml:space="preserve">p-value</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of respondent, calculated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as_factor(gndr)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 -0.03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-0.02, 0.08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Final Oesch class position - 5 classes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Higher-grade service class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Lower-grade service class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-0.12, 0.05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 business owners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-0.14, 0.04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0.03, 0.21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Skilled workers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-0.08, 0.07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0.01, 0.16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Unskilled workers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-0.07, 0.08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as_factor(hincfel)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Living comfortably on present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Coping on present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-0.08, 0.02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-0.08, 0.03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Difficult on present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-0.15, 0.00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-0.30, -0.14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Very difficult on present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-0.18, 0.05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 -0.36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Refusal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-1.6, 0.65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Don't know</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0.029</w:t>
                  </w:r>
                </w:p>
              </w:tc>
            </w:tr>
            <w:tr>
              <w:trPr>
                <w:cantSplit/>
              </w:trPr>
              <w:tc>
                <w:tcPr>
                  <w:gridSpan w:val="7"/>
                </w:tcPr>
                <w:p>
                  <w:pPr>
                    <w:spacing w:before="0" w:after="60"/>
                    <w:keepNext/>
                  </w:pPr>
                  <w:r>
                    <w:rPr>
                      <w:rFonts w:ascii="Calibri" w:hAnsi="Calibri"/>
                      <w:sz w:val="20"/>
                    </w:rPr>
                    <w:t xml:space="preserve">Abbreviation: CI = Confidence Interval</w:t>
                  </w:r>
                </w:p>
              </w:tc>
            </w:tr>
            <w:tr>
              <w:trPr>
                <w:cantSplit/>
              </w:trPr>
              <w:tc>
                <w:tcPr>
                  <w:gridSpan w:val="7"/>
                </w:tcPr>
                <w:p>
                  <w:pPr>
                    <w:spacing w:before="0" w:after="60"/>
                    <w:keepNext/>
                  </w:pPr>
                  <w:r>
                    <w:rPr>
                      <w:rFonts w:ascii="Calibri" w:hAnsi="Calibri"/>
                      <w:sz w:val="20"/>
                    </w:rPr>
                    <w:t xml:space="default">Time fixed effects (ESS Round) omitted from the table but included in the model</w:t>
                  </w:r>
                </w:p>
              </w:tc>
            </w:tr>
          </w:tbl>
          <w:bookmarkEnd w:id="101"/>
        </w:tc>
      </w:tr>
    </w:tbl>
    <w:p>
      <w:pPr>
        <w:sectPr>
          <w:pgSz w:h="11906" w:w="16838" w:orient="landscape"/>
        </w:sectPr>
      </w:pPr>
    </w:p>
    <w:bookmarkEnd w:id="102"/>
    <w:bookmarkEnd w:id="103"/>
    <w:bookmarkEnd w:id="104"/>
    <w:bookmarkStart w:id="127" w:name="references"/>
    <w:p>
      <w:pPr>
        <w:pStyle w:val="Heading1"/>
      </w:pPr>
      <w:r>
        <w:t xml:space="preserve">References</w:t>
      </w:r>
    </w:p>
    <w:bookmarkStart w:id="126" w:name="refs"/>
    <w:bookmarkStart w:id="106" w:name="ref-breznau_moderating_2025"/>
    <w:p>
      <w:pPr>
        <w:pStyle w:val="Bibliography"/>
      </w:pPr>
      <w:r>
        <w:t xml:space="preserve">Breznau, Nate, Lisa Heukamp, Hung HV Nguyen, and Tom Knuf. 2025.</w:t>
      </w:r>
      <w:r>
        <w:t xml:space="preserve"> </w:t>
      </w:r>
      <w:r>
        <w:t xml:space="preserve">“The Moderating Role of Government Heuristics in Public Preferences for Redistribution.”</w:t>
      </w:r>
      <w:r>
        <w:t xml:space="preserve"> </w:t>
      </w:r>
      <w:r>
        <w:rPr>
          <w:i/>
          <w:iCs/>
        </w:rPr>
        <w:t xml:space="preserve">Journal of European Social Policy</w:t>
      </w:r>
      <w:r>
        <w:t xml:space="preserve"> </w:t>
      </w:r>
      <w:r>
        <w:t xml:space="preserve">35 (1): 21–39.</w:t>
      </w:r>
      <w:r>
        <w:t xml:space="preserve"> </w:t>
      </w:r>
      <w:hyperlink r:id="rId105">
        <w:r>
          <w:rPr>
            <w:rStyle w:val="Hyperlink"/>
          </w:rPr>
          <w:t xml:space="preserve">https://doi.org/10.1177/09589287241290742</w:t>
        </w:r>
      </w:hyperlink>
      <w:r>
        <w:t xml:space="preserve">.</w:t>
      </w:r>
    </w:p>
    <w:bookmarkEnd w:id="106"/>
    <w:bookmarkStart w:id="108" w:name="ref-cappelen_solidarity_2021"/>
    <w:p>
      <w:pPr>
        <w:pStyle w:val="Bibliography"/>
      </w:pPr>
      <w:r>
        <w:t xml:space="preserve">Cappelen, Alexander W., Ranveig Falch, Erik Ø. Sørensen, and Bertil Tungodden. 2021.</w:t>
      </w:r>
      <w:r>
        <w:t xml:space="preserve"> </w:t>
      </w:r>
      <w:r>
        <w:t xml:space="preserve">“Solidarity and Fairness in Times of Crisis.”</w:t>
      </w:r>
      <w:r>
        <w:t xml:space="preserve"> </w:t>
      </w:r>
      <w:r>
        <w:rPr>
          <w:i/>
          <w:iCs/>
        </w:rPr>
        <w:t xml:space="preserve">Journal of Economic Behavior &amp; Organization</w:t>
      </w:r>
      <w:r>
        <w:t xml:space="preserve"> </w:t>
      </w:r>
      <w:r>
        <w:t xml:space="preserve">186 (June): 1–11.</w:t>
      </w:r>
      <w:r>
        <w:t xml:space="preserve"> </w:t>
      </w:r>
      <w:hyperlink r:id="rId107">
        <w:r>
          <w:rPr>
            <w:rStyle w:val="Hyperlink"/>
          </w:rPr>
          <w:t xml:space="preserve">https://doi.org/10.1016/j.jebo.2021.03.017</w:t>
        </w:r>
      </w:hyperlink>
      <w:r>
        <w:t xml:space="preserve">.</w:t>
      </w:r>
    </w:p>
    <w:bookmarkEnd w:id="108"/>
    <w:bookmarkStart w:id="110" w:name="ref-dallinger_ambivalence_2022"/>
    <w:p>
      <w:pPr>
        <w:pStyle w:val="Bibliography"/>
      </w:pPr>
      <w:r>
        <w:t xml:space="preserve">Dallinger, Ursula. 2022.</w:t>
      </w:r>
      <w:r>
        <w:t xml:space="preserve"> </w:t>
      </w:r>
      <w:r>
        <w:t xml:space="preserve">“On the Ambivalence of Preferences for Income Redistribution:</w:t>
      </w:r>
      <w:r>
        <w:t xml:space="preserve"> </w:t>
      </w:r>
      <w:r>
        <w:t xml:space="preserve">A</w:t>
      </w:r>
      <w:r>
        <w:t xml:space="preserve"> </w:t>
      </w:r>
      <w:r>
        <w:t xml:space="preserve">Research Note.”</w:t>
      </w:r>
      <w:r>
        <w:t xml:space="preserve"> </w:t>
      </w:r>
      <w:r>
        <w:rPr>
          <w:i/>
          <w:iCs/>
        </w:rPr>
        <w:t xml:space="preserve">Journal of European Social Policy</w:t>
      </w:r>
      <w:r>
        <w:t xml:space="preserve"> </w:t>
      </w:r>
      <w:r>
        <w:t xml:space="preserve">32 (2): 225–36.</w:t>
      </w:r>
      <w:r>
        <w:t xml:space="preserve"> </w:t>
      </w:r>
      <w:hyperlink r:id="rId109">
        <w:r>
          <w:rPr>
            <w:rStyle w:val="Hyperlink"/>
          </w:rPr>
          <w:t xml:space="preserve">https://doi.org/10.1177/09589287211066469</w:t>
        </w:r>
      </w:hyperlink>
      <w:r>
        <w:t xml:space="preserve">.</w:t>
      </w:r>
    </w:p>
    <w:bookmarkEnd w:id="110"/>
    <w:bookmarkStart w:id="112" w:name="ref-margalit_does_2024"/>
    <w:p>
      <w:pPr>
        <w:pStyle w:val="Bibliography"/>
      </w:pPr>
      <w:r>
        <w:t xml:space="preserve">Margalit, Yotam, and Shir Raviv. 2024.</w:t>
      </w:r>
      <w:r>
        <w:t xml:space="preserve"> </w:t>
      </w:r>
      <w:r>
        <w:t xml:space="preserve">“Does Support for Redistribution Mean What We Think It Means?”</w:t>
      </w:r>
      <w:r>
        <w:t xml:space="preserve"> </w:t>
      </w:r>
      <w:r>
        <w:rPr>
          <w:i/>
          <w:iCs/>
        </w:rPr>
        <w:t xml:space="preserve">Political Science Research and Methods</w:t>
      </w:r>
      <w:r>
        <w:t xml:space="preserve"> </w:t>
      </w:r>
      <w:r>
        <w:t xml:space="preserve">12 (4): 870–78.</w:t>
      </w:r>
      <w:r>
        <w:t xml:space="preserve"> </w:t>
      </w:r>
      <w:hyperlink r:id="rId111">
        <w:r>
          <w:rPr>
            <w:rStyle w:val="Hyperlink"/>
          </w:rPr>
          <w:t xml:space="preserve">https://doi.org/10.1017/psrm.2023.57</w:t>
        </w:r>
      </w:hyperlink>
      <w:r>
        <w:t xml:space="preserve">.</w:t>
      </w:r>
    </w:p>
    <w:bookmarkEnd w:id="112"/>
    <w:bookmarkStart w:id="113" w:name="ref-meuleman_past_2018"/>
    <w:p>
      <w:pPr>
        <w:pStyle w:val="Bibliography"/>
      </w:pPr>
      <w:r>
        <w:t xml:space="preserve">Meuleman, Bart, Wim Van Oorschot, Dimitri Gugushvili, Sharon Baute, Sam Delespaul, Tijs Laenen, Femke Roosma, and Federica Rossetti. 2018.</w:t>
      </w:r>
      <w:r>
        <w:t xml:space="preserve"> </w:t>
      </w:r>
      <w:r>
        <w:t xml:space="preserve">“The Past, Present and Future of</w:t>
      </w:r>
      <w:r>
        <w:t xml:space="preserve"> </w:t>
      </w:r>
      <w:r>
        <w:t xml:space="preserve">European</w:t>
      </w:r>
      <w:r>
        <w:t xml:space="preserve"> </w:t>
      </w:r>
      <w:r>
        <w:t xml:space="preserve">Welfare Attitudes:</w:t>
      </w:r>
      <w:r>
        <w:t xml:space="preserve"> </w:t>
      </w:r>
      <w:r>
        <w:t xml:space="preserve">Topline</w:t>
      </w:r>
      <w:r>
        <w:t xml:space="preserve"> </w:t>
      </w:r>
      <w:r>
        <w:t xml:space="preserve">Results from Round 8 of the</w:t>
      </w:r>
      <w:r>
        <w:t xml:space="preserve"> </w:t>
      </w:r>
      <w:r>
        <w:t xml:space="preserve">European</w:t>
      </w:r>
      <w:r>
        <w:t xml:space="preserve"> </w:t>
      </w:r>
      <w:r>
        <w:t xml:space="preserve">Social</w:t>
      </w:r>
      <w:r>
        <w:t xml:space="preserve"> </w:t>
      </w:r>
      <w:r>
        <w:t xml:space="preserve">Survey</w:t>
      </w:r>
      <w:r>
        <w:t xml:space="preserve">.”</w:t>
      </w:r>
      <w:r>
        <w:t xml:space="preserve"> </w:t>
      </w:r>
      <w:r>
        <w:rPr>
          <w:i/>
          <w:iCs/>
        </w:rPr>
        <w:t xml:space="preserve">ESS Topline Series</w:t>
      </w:r>
      <w:r>
        <w:t xml:space="preserve">.</w:t>
      </w:r>
    </w:p>
    <w:bookmarkEnd w:id="113"/>
    <w:bookmarkStart w:id="115" w:name="ref-oesch_coming_2006"/>
    <w:p>
      <w:pPr>
        <w:pStyle w:val="Bibliography"/>
      </w:pPr>
      <w:r>
        <w:t xml:space="preserve">Oesch, Daniel. 2006.</w:t>
      </w:r>
      <w:r>
        <w:t xml:space="preserve"> </w:t>
      </w:r>
      <w:r>
        <w:t xml:space="preserve">“Coming to</w:t>
      </w:r>
      <w:r>
        <w:t xml:space="preserve"> </w:t>
      </w:r>
      <w:r>
        <w:t xml:space="preserve">Grips</w:t>
      </w:r>
      <w:r>
        <w:t xml:space="preserve"> </w:t>
      </w:r>
      <w:r>
        <w:t xml:space="preserve">with a</w:t>
      </w:r>
      <w:r>
        <w:t xml:space="preserve"> </w:t>
      </w:r>
      <w:r>
        <w:t xml:space="preserve">Changing</w:t>
      </w:r>
      <w:r>
        <w:t xml:space="preserve"> </w:t>
      </w:r>
      <w:r>
        <w:t xml:space="preserve">Class</w:t>
      </w:r>
      <w:r>
        <w:t xml:space="preserve"> </w:t>
      </w:r>
      <w:r>
        <w:t xml:space="preserve">Structure</w:t>
      </w:r>
      <w:r>
        <w:t xml:space="preserve">:</w:t>
      </w:r>
      <w:r>
        <w:t xml:space="preserve"> </w:t>
      </w:r>
      <w:r>
        <w:t xml:space="preserve">An</w:t>
      </w:r>
      <w:r>
        <w:t xml:space="preserve"> </w:t>
      </w:r>
      <w:r>
        <w:t xml:space="preserve">Analysis</w:t>
      </w:r>
      <w:r>
        <w:t xml:space="preserve"> </w:t>
      </w:r>
      <w:r>
        <w:t xml:space="preserve">of</w:t>
      </w:r>
      <w:r>
        <w:t xml:space="preserve"> </w:t>
      </w:r>
      <w:r>
        <w:t xml:space="preserve">Employment</w:t>
      </w:r>
      <w:r>
        <w:t xml:space="preserve"> </w:t>
      </w:r>
      <w:r>
        <w:t xml:space="preserve">Stratification</w:t>
      </w:r>
      <w:r>
        <w:t xml:space="preserve"> </w:t>
      </w:r>
      <w:r>
        <w:t xml:space="preserve">in</w:t>
      </w:r>
      <w:r>
        <w:t xml:space="preserve"> </w:t>
      </w:r>
      <w:r>
        <w:t xml:space="preserve">Britain</w:t>
      </w:r>
      <w:r>
        <w:t xml:space="preserve">,</w:t>
      </w:r>
      <w:r>
        <w:t xml:space="preserve"> </w:t>
      </w:r>
      <w:r>
        <w:t xml:space="preserve">Germany</w:t>
      </w:r>
      <w:r>
        <w:t xml:space="preserve">,</w:t>
      </w:r>
      <w:r>
        <w:t xml:space="preserve"> </w:t>
      </w:r>
      <w:r>
        <w:t xml:space="preserve">Sweden</w:t>
      </w:r>
      <w:r>
        <w:t xml:space="preserve"> </w:t>
      </w:r>
      <w:r>
        <w:t xml:space="preserve">and</w:t>
      </w:r>
      <w:r>
        <w:t xml:space="preserve"> </w:t>
      </w:r>
      <w:r>
        <w:t xml:space="preserve">Switzerland</w:t>
      </w:r>
      <w:r>
        <w:t xml:space="preserve">.”</w:t>
      </w:r>
      <w:r>
        <w:t xml:space="preserve"> </w:t>
      </w:r>
      <w:r>
        <w:rPr>
          <w:i/>
          <w:iCs/>
        </w:rPr>
        <w:t xml:space="preserve">International Sociology</w:t>
      </w:r>
      <w:r>
        <w:t xml:space="preserve"> </w:t>
      </w:r>
      <w:r>
        <w:t xml:space="preserve">21 (2): 263–88.</w:t>
      </w:r>
      <w:r>
        <w:t xml:space="preserve"> </w:t>
      </w:r>
      <w:hyperlink r:id="rId114">
        <w:r>
          <w:rPr>
            <w:rStyle w:val="Hyperlink"/>
          </w:rPr>
          <w:t xml:space="preserve">https://doi.org/10.1177/0268580906061379</w:t>
        </w:r>
      </w:hyperlink>
      <w:r>
        <w:t xml:space="preserve">.</w:t>
      </w:r>
    </w:p>
    <w:bookmarkEnd w:id="115"/>
    <w:bookmarkStart w:id="117" w:name="ref-roantree_poverty_2024"/>
    <w:p>
      <w:pPr>
        <w:pStyle w:val="Bibliography"/>
      </w:pPr>
      <w:r>
        <w:t xml:space="preserve">Roantree, Barra, Bertrand Maître, and Helen Russell. 2024.</w:t>
      </w:r>
      <w:r>
        <w:t xml:space="preserve"> </w:t>
      </w:r>
      <w:r>
        <w:t xml:space="preserve">“Poverty, Income Inequality and Living Standards in</w:t>
      </w:r>
      <w:r>
        <w:t xml:space="preserve"> </w:t>
      </w:r>
      <w:r>
        <w:t xml:space="preserve">Ireland</w:t>
      </w:r>
      <w:r>
        <w:t xml:space="preserve">:</w:t>
      </w:r>
      <w:r>
        <w:t xml:space="preserve"> </w:t>
      </w:r>
      <w:r>
        <w:t xml:space="preserve">Fourth</w:t>
      </w:r>
      <w:r>
        <w:t xml:space="preserve"> </w:t>
      </w:r>
      <w:r>
        <w:t xml:space="preserve">Annual Report.”</w:t>
      </w:r>
      <w:r>
        <w:t xml:space="preserve"> </w:t>
      </w:r>
      <w:r>
        <w:t xml:space="preserve">Economic; Social Research Institute.</w:t>
      </w:r>
      <w:r>
        <w:t xml:space="preserve"> </w:t>
      </w:r>
      <w:hyperlink r:id="rId116">
        <w:r>
          <w:rPr>
            <w:rStyle w:val="Hyperlink"/>
          </w:rPr>
          <w:t xml:space="preserve">https://doi.org/10.26504/jr7</w:t>
        </w:r>
      </w:hyperlink>
      <w:r>
        <w:t xml:space="preserve">.</w:t>
      </w:r>
    </w:p>
    <w:bookmarkEnd w:id="117"/>
    <w:bookmarkStart w:id="119" w:name="ref-steele_attitudes_2019"/>
    <w:p>
      <w:pPr>
        <w:pStyle w:val="Bibliography"/>
      </w:pPr>
      <w:r>
        <w:t xml:space="preserve">Steele, Liza G., and Nate Breznau. 2019.</w:t>
      </w:r>
      <w:r>
        <w:t xml:space="preserve"> </w:t>
      </w:r>
      <w:r>
        <w:t xml:space="preserve">“Attitudes Toward</w:t>
      </w:r>
      <w:r>
        <w:t xml:space="preserve"> </w:t>
      </w:r>
      <w:r>
        <w:t xml:space="preserve">Redistributive</w:t>
      </w:r>
      <w:r>
        <w:t xml:space="preserve"> </w:t>
      </w:r>
      <w:r>
        <w:t xml:space="preserve">Policy</w:t>
      </w:r>
      <w:r>
        <w:t xml:space="preserve">:</w:t>
      </w:r>
      <w:r>
        <w:t xml:space="preserve"> </w:t>
      </w:r>
      <w:r>
        <w:t xml:space="preserve">An</w:t>
      </w:r>
      <w:r>
        <w:t xml:space="preserve"> </w:t>
      </w:r>
      <w:r>
        <w:t xml:space="preserve">Introduction</w:t>
      </w:r>
      <w:r>
        <w:t xml:space="preserve">.”</w:t>
      </w:r>
      <w:r>
        <w:t xml:space="preserve"> </w:t>
      </w:r>
      <w:r>
        <w:rPr>
          <w:i/>
          <w:iCs/>
        </w:rPr>
        <w:t xml:space="preserve">Societies</w:t>
      </w:r>
      <w:r>
        <w:t xml:space="preserve"> </w:t>
      </w:r>
      <w:r>
        <w:t xml:space="preserve">9 (3): 50.</w:t>
      </w:r>
      <w:r>
        <w:t xml:space="preserve"> </w:t>
      </w:r>
      <w:hyperlink r:id="rId118">
        <w:r>
          <w:rPr>
            <w:rStyle w:val="Hyperlink"/>
          </w:rPr>
          <w:t xml:space="preserve">https://doi.org/10.3390/soc9030050</w:t>
        </w:r>
      </w:hyperlink>
      <w:r>
        <w:t xml:space="preserve">.</w:t>
      </w:r>
    </w:p>
    <w:bookmarkEnd w:id="119"/>
    <w:bookmarkStart w:id="121" w:name="ref-svallfors_contested_2012"/>
    <w:p>
      <w:pPr>
        <w:pStyle w:val="Bibliography"/>
      </w:pPr>
      <w:r>
        <w:t xml:space="preserve">Svallfors, Stefan, ed. 2012.</w:t>
      </w:r>
      <w:r>
        <w:t xml:space="preserve"> </w:t>
      </w:r>
      <w:r>
        <w:rPr>
          <w:i/>
          <w:iCs/>
        </w:rPr>
        <w:t xml:space="preserve">Contested</w:t>
      </w:r>
      <w:r>
        <w:rPr>
          <w:i/>
          <w:iCs/>
        </w:rPr>
        <w:t xml:space="preserve"> </w:t>
      </w:r>
      <w:r>
        <w:rPr>
          <w:i/>
          <w:iCs/>
        </w:rPr>
        <w:t xml:space="preserve">Welfare</w:t>
      </w:r>
      <w:r>
        <w:rPr>
          <w:i/>
          <w:iCs/>
        </w:rPr>
        <w:t xml:space="preserve"> </w:t>
      </w:r>
      <w:r>
        <w:rPr>
          <w:i/>
          <w:iCs/>
        </w:rPr>
        <w:t xml:space="preserve">States</w:t>
      </w:r>
      <w:r>
        <w:rPr>
          <w:i/>
          <w:iCs/>
        </w:rPr>
        <w:t xml:space="preserve">:</w:t>
      </w:r>
      <w:r>
        <w:rPr>
          <w:i/>
          <w:iCs/>
        </w:rPr>
        <w:t xml:space="preserve"> </w:t>
      </w:r>
      <w:r>
        <w:rPr>
          <w:i/>
          <w:iCs/>
        </w:rPr>
        <w:t xml:space="preserve">Welfare</w:t>
      </w:r>
      <w:r>
        <w:rPr>
          <w:i/>
          <w:iCs/>
        </w:rPr>
        <w:t xml:space="preserve"> </w:t>
      </w:r>
      <w:r>
        <w:rPr>
          <w:i/>
          <w:iCs/>
        </w:rPr>
        <w:t xml:space="preserve">Attitudes</w:t>
      </w:r>
      <w:r>
        <w:rPr>
          <w:i/>
          <w:iCs/>
        </w:rPr>
        <w:t xml:space="preserve"> </w:t>
      </w:r>
      <w:r>
        <w:rPr>
          <w:i/>
          <w:iCs/>
        </w:rPr>
        <w:t xml:space="preserve">in</w:t>
      </w:r>
      <w:r>
        <w:rPr>
          <w:i/>
          <w:iCs/>
        </w:rPr>
        <w:t xml:space="preserve"> </w:t>
      </w:r>
      <w:r>
        <w:rPr>
          <w:i/>
          <w:iCs/>
        </w:rPr>
        <w:t xml:space="preserve">Europe</w:t>
      </w:r>
      <w:r>
        <w:rPr>
          <w:i/>
          <w:iCs/>
        </w:rPr>
        <w:t xml:space="preserve"> </w:t>
      </w:r>
      <w:r>
        <w:rPr>
          <w:i/>
          <w:iCs/>
        </w:rPr>
        <w:t xml:space="preserve">and</w:t>
      </w:r>
      <w:r>
        <w:rPr>
          <w:i/>
          <w:iCs/>
        </w:rPr>
        <w:t xml:space="preserve"> </w:t>
      </w:r>
      <w:r>
        <w:rPr>
          <w:i/>
          <w:iCs/>
        </w:rPr>
        <w:t xml:space="preserve">Beyond</w:t>
      </w:r>
      <w:r>
        <w:t xml:space="preserve">. Stanford University Press.</w:t>
      </w:r>
      <w:r>
        <w:t xml:space="preserve"> </w:t>
      </w:r>
      <w:hyperlink r:id="rId120">
        <w:r>
          <w:rPr>
            <w:rStyle w:val="Hyperlink"/>
          </w:rPr>
          <w:t xml:space="preserve">https://doi.org/10.11126/stanford/9780804782524.001.0001</w:t>
        </w:r>
      </w:hyperlink>
      <w:r>
        <w:t xml:space="preserve">.</w:t>
      </w:r>
    </w:p>
    <w:bookmarkEnd w:id="121"/>
    <w:bookmarkStart w:id="123" w:name="ref-tawfik_script_2020"/>
    <w:p>
      <w:pPr>
        <w:pStyle w:val="Bibliography"/>
      </w:pPr>
      <w:r>
        <w:t xml:space="preserve">Tawfik, Amal, and Daniel Oesch. 2020.</w:t>
      </w:r>
      <w:r>
        <w:t xml:space="preserve"> </w:t>
      </w:r>
      <w:r>
        <w:t xml:space="preserve">“Script to</w:t>
      </w:r>
      <w:r>
        <w:t xml:space="preserve"> </w:t>
      </w:r>
      <w:r>
        <w:t xml:space="preserve">Construct</w:t>
      </w:r>
      <w:r>
        <w:t xml:space="preserve"> </w:t>
      </w:r>
      <w:r>
        <w:t xml:space="preserve">an</w:t>
      </w:r>
      <w:r>
        <w:t xml:space="preserve"> </w:t>
      </w:r>
      <w:r>
        <w:t xml:space="preserve">Indicator</w:t>
      </w:r>
      <w:r>
        <w:t xml:space="preserve"> </w:t>
      </w:r>
      <w:r>
        <w:t xml:space="preserve">of</w:t>
      </w:r>
      <w:r>
        <w:t xml:space="preserve"> </w:t>
      </w:r>
      <w:r>
        <w:t xml:space="preserve">Social</w:t>
      </w:r>
      <w:r>
        <w:t xml:space="preserve"> </w:t>
      </w:r>
      <w:r>
        <w:t xml:space="preserve">Class</w:t>
      </w:r>
      <w:r>
        <w:t xml:space="preserve"> </w:t>
      </w:r>
      <w:r>
        <w:t xml:space="preserve">in the</w:t>
      </w:r>
      <w:r>
        <w:t xml:space="preserve"> </w:t>
      </w:r>
      <w:r>
        <w:t xml:space="preserve">ESS</w:t>
      </w:r>
      <w:r>
        <w:t xml:space="preserve">.”</w:t>
      </w:r>
      <w:r>
        <w:t xml:space="preserve"> </w:t>
      </w:r>
      <w:r>
        <w:rPr>
          <w:i/>
          <w:iCs/>
        </w:rPr>
        <w:t xml:space="preserve">Https://Www. Europeansocialsurvey. Org/Docs/Shared_user_resources/Oesch/Oesch_social_class_schema. Zip (Zugegriffen Am 11.11. 2021)</w:t>
      </w:r>
      <w:r>
        <w:t xml:space="preserve">.</w:t>
      </w:r>
      <w:r>
        <w:t xml:space="preserve"> </w:t>
      </w:r>
      <w:hyperlink r:id="rId122">
        <w:r>
          <w:rPr>
            <w:rStyle w:val="Hyperlink"/>
          </w:rPr>
          <w:t xml:space="preserve">https://scholar.google.com/scholar?cluster=14780777134980176311&amp;hl=en&amp;oi=scholarr</w:t>
        </w:r>
      </w:hyperlink>
      <w:r>
        <w:t xml:space="preserve">.</w:t>
      </w:r>
    </w:p>
    <w:bookmarkEnd w:id="123"/>
    <w:bookmarkStart w:id="125" w:name="ref-van_hootegem_wave_2023"/>
    <w:p>
      <w:pPr>
        <w:pStyle w:val="Bibliography"/>
      </w:pPr>
      <w:r>
        <w:t xml:space="preserve">Van Hootegem, Arno, and Tijs Laenen. 2023.</w:t>
      </w:r>
      <w:r>
        <w:t xml:space="preserve"> </w:t>
      </w:r>
      <w:r>
        <w:t xml:space="preserve">“A Wave of Support?</w:t>
      </w:r>
      <w:r>
        <w:t xml:space="preserve"> </w:t>
      </w:r>
      <w:r>
        <w:t xml:space="preserve">A</w:t>
      </w:r>
      <w:r>
        <w:t xml:space="preserve"> </w:t>
      </w:r>
      <w:r>
        <w:t xml:space="preserve">Natural Experiment on How the</w:t>
      </w:r>
      <w:r>
        <w:t xml:space="preserve"> </w:t>
      </w:r>
      <w:r>
        <w:t xml:space="preserve">COVID</w:t>
      </w:r>
      <w:r>
        <w:t xml:space="preserve">-19 Pandemic Affected the Popularity of a Basic Income.”</w:t>
      </w:r>
      <w:r>
        <w:t xml:space="preserve"> </w:t>
      </w:r>
      <w:r>
        <w:rPr>
          <w:i/>
          <w:iCs/>
        </w:rPr>
        <w:t xml:space="preserve">Acta Politica</w:t>
      </w:r>
      <w:r>
        <w:t xml:space="preserve"> </w:t>
      </w:r>
      <w:r>
        <w:t xml:space="preserve">58 (3): 695–713.</w:t>
      </w:r>
      <w:r>
        <w:t xml:space="preserve"> </w:t>
      </w:r>
      <w:hyperlink r:id="rId124">
        <w:r>
          <w:rPr>
            <w:rStyle w:val="Hyperlink"/>
          </w:rPr>
          <w:t xml:space="preserve">https://doi.org/10.1057/s41269-022-00260-9</w:t>
        </w:r>
      </w:hyperlink>
      <w:r>
        <w:t xml:space="preserve">.</w:t>
      </w:r>
    </w:p>
    <w:bookmarkEnd w:id="125"/>
    <w:bookmarkEnd w:id="126"/>
    <w:bookmarkEnd w:id="127"/>
    <w:sectPr w:rsidR="00A53471" w:rsidSect="009F4E1E">
      <w:headerReference r:id="rId9" w:type="even"/>
      <w:headerReference r:id="rId10" w:type="default"/>
      <w:pgSz w:h="15840" w:w="12240"/>
      <w:pgMar w:bottom="1440" w:footer="720" w:gutter="0" w:header="720" w:left="1440" w:right="1440" w:top="1440"/>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5175A" w14:textId="2EC49DFC" w:rsidR="009F4E1E" w:rsidRPr="009D5038" w:rsidRDefault="009F4E1E" w:rsidP="009F4E1E">
    <w:pPr>
      <w:pStyle w:val="Header"/>
    </w:pPr>
    <w:r w:rsidRPr="00EA31BC">
      <w:fldChar w:fldCharType="begin"/>
    </w:r>
    <w:r w:rsidRPr="00EA31BC">
      <w:instrText xml:space="preserve"> PAGE </w:instrText>
    </w:r>
    <w:r w:rsidRPr="00EA31BC">
      <w:fldChar w:fldCharType="separate"/>
    </w:r>
    <w:r>
      <w:t>2</w:t>
    </w:r>
    <w:r w:rsidRPr="00EA31BC">
      <w:fldChar w:fldCharType="end"/>
    </w:r>
    <w:r w:rsidRPr="00EA31BC">
      <w:t xml:space="preserve"> </w:t>
    </w:r>
    <w:r w:rsidRPr="00963C1F">
      <w:t>|</w:t>
    </w:r>
    <w:r w:rsidRPr="00917ED7">
      <w:t xml:space="preserve"> </w:t>
    </w:r>
    <w:fldSimple w:instr=" STYLEREF  Title  \* MERGEFORMAT ">
      <w:r w:rsidR="00E22034">
        <w:rPr>
          <w:noProof/>
        </w:rPr>
        <w:t>Title</w:t>
      </w:r>
    </w:fldSimple>
    <w:r>
      <w:fldChar w:fldCharType="begin"/>
    </w:r>
    <w:r>
      <w:instrText xml:space="preserve"> TITLE   \* MERGEFORMAT </w:instrText>
    </w:r>
    <w:r>
      <w:fldChar w:fldCharType="end"/>
    </w:r>
  </w:p>
  <w:p w14:paraId="67AE08AB" w14:textId="77777777" w:rsidR="009F4E1E" w:rsidRDefault="009F4E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D9D66" w14:textId="6A6C895E" w:rsidR="009F4E1E" w:rsidRPr="009D5038" w:rsidRDefault="009F4E1E" w:rsidP="009F4E1E">
    <w:pPr>
      <w:pStyle w:val="Header"/>
    </w:pPr>
    <w:r w:rsidRPr="00EA31BC">
      <w:fldChar w:fldCharType="begin"/>
    </w:r>
    <w:r w:rsidRPr="00EA31BC">
      <w:instrText xml:space="preserve"> PAGE </w:instrText>
    </w:r>
    <w:r w:rsidRPr="00EA31BC">
      <w:fldChar w:fldCharType="separate"/>
    </w:r>
    <w:r>
      <w:t>2</w:t>
    </w:r>
    <w:r w:rsidRPr="00EA31BC">
      <w:fldChar w:fldCharType="end"/>
    </w:r>
    <w:r w:rsidRPr="00EA31BC">
      <w:t xml:space="preserve"> </w:t>
    </w:r>
    <w:r w:rsidRPr="00963C1F">
      <w:t>|</w:t>
    </w:r>
    <w:r w:rsidRPr="00917ED7">
      <w:t xml:space="preserve"> </w:t>
    </w:r>
    <w:fldSimple w:instr=" STYLEREF  &quot;Heading 1&quot;  \* MERGEFORMAT ">
      <w:r>
        <w:rPr>
          <w:noProof/>
        </w:rPr>
        <w:t>Heading 1</w:t>
      </w:r>
    </w:fldSimple>
    <w:r>
      <w:fldChar w:fldCharType="begin"/>
    </w:r>
    <w:r>
      <w:instrText xml:space="preserve"> TITLE   \* MERGEFORMAT </w:instrText>
    </w:r>
    <w:r>
      <w:fldChar w:fldCharType="end"/>
    </w:r>
  </w:p>
  <w:p w14:paraId="1ECA66F5" w14:textId="77777777" w:rsidR="009F4E1E" w:rsidRDefault="009F4E1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146CD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99499925"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A53471"/>
    <w:rsid w:val="00200A84"/>
    <w:rsid w:val="008972D0"/>
    <w:rsid w:val="009F4E1E"/>
    <w:rsid w:val="00A53471"/>
    <w:rsid w:val="00E22034"/>
    <w:rsid w:val="00F45C1F"/>
    <w:rsid w:val="00F64700"/>
    <w:rsid w:val="00FC413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45C1F"/>
    <w:pPr>
      <w:autoSpaceDE w:val="0"/>
      <w:autoSpaceDN w:val="0"/>
      <w:spacing w:after="120" w:before="120" w:line="288" w:lineRule="auto"/>
      <w:ind w:left="851" w:right="851"/>
      <w:jc w:val="both"/>
    </w:pPr>
    <w:rPr>
      <w:rFonts w:ascii="Calibri" w:cs="Calibri" w:hAnsi="Calibri"/>
      <w:sz w:val="22"/>
      <w:szCs w:val="22"/>
    </w:rPr>
  </w:style>
  <w:style w:styleId="Heading1" w:type="paragraph">
    <w:name w:val="heading 1"/>
    <w:basedOn w:val="Normal"/>
    <w:next w:val="BodyText"/>
    <w:link w:val="Heading1Char"/>
    <w:uiPriority w:val="9"/>
    <w:qFormat/>
    <w:rsid w:val="00E22034"/>
    <w:pPr>
      <w:pBdr>
        <w:bottom w:color="1F355E" w:space="1" w:sz="18" w:val="single"/>
      </w:pBdr>
      <w:spacing w:before="360"/>
      <w:outlineLvl w:val="0"/>
    </w:pPr>
    <w:rPr>
      <w:rFonts w:cs="Times New Roman" w:eastAsia="Batang"/>
      <w:b/>
      <w:caps/>
      <w:color w:val="1F355E"/>
      <w:sz w:val="32"/>
      <w:szCs w:val="32"/>
      <w:lang w:eastAsia="de-DE" w:val="en-GB"/>
    </w:rPr>
  </w:style>
  <w:style w:styleId="Heading2" w:type="paragraph">
    <w:name w:val="heading 2"/>
    <w:basedOn w:val="Normal"/>
    <w:next w:val="BodyText"/>
    <w:link w:val="Heading2Char"/>
    <w:uiPriority w:val="9"/>
    <w:unhideWhenUsed/>
    <w:qFormat/>
    <w:rsid w:val="00F45C1F"/>
    <w:pPr>
      <w:keepNext/>
      <w:autoSpaceDE/>
      <w:autoSpaceDN/>
      <w:spacing w:before="480"/>
      <w:ind w:hanging="709" w:left="1560"/>
      <w:outlineLvl w:val="1"/>
    </w:pPr>
    <w:rPr>
      <w:rFonts w:cs="Times New Roman" w:eastAsia="Batang"/>
      <w:b/>
      <w:bCs/>
      <w:caps/>
      <w:color w:val="1F355E"/>
      <w:kern w:val="32"/>
      <w:sz w:val="24"/>
      <w:szCs w:val="24"/>
      <w:lang w:eastAsia="ar-SA" w:val="en-IE"/>
    </w:rPr>
  </w:style>
  <w:style w:styleId="Heading3" w:type="paragraph">
    <w:name w:val="heading 3"/>
    <w:basedOn w:val="Normal"/>
    <w:next w:val="BodyText"/>
    <w:link w:val="Heading3Char"/>
    <w:uiPriority w:val="9"/>
    <w:unhideWhenUsed/>
    <w:qFormat/>
    <w:rsid w:val="009F4E1E"/>
    <w:pPr>
      <w:keepNext/>
      <w:keepLines/>
      <w:spacing w:after="80" w:before="160"/>
      <w:outlineLvl w:val="2"/>
    </w:pPr>
    <w:rPr>
      <w:rFonts w:cs="Times New Roman" w:eastAsia="Batang"/>
      <w:b/>
      <w:bCs/>
      <w:iCs/>
      <w:color w:val="1F355E"/>
      <w:sz w:val="24"/>
      <w:szCs w:val="28"/>
      <w:shd w:color="auto" w:fill="FFFFFF" w:val="clear"/>
      <w:lang w:val="en-GB"/>
    </w:rPr>
  </w:style>
  <w:style w:styleId="Heading4" w:type="paragraph">
    <w:name w:val="heading 4"/>
    <w:basedOn w:val="Normal"/>
    <w:next w:val="BodyText"/>
    <w:link w:val="Heading4Char"/>
    <w:uiPriority w:val="9"/>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F45C1F"/>
    <w:pPr>
      <w:spacing w:after="180" w:before="180"/>
    </w:pPr>
  </w:style>
  <w:style w:customStyle="1" w:styleId="FirstParagraph" w:type="paragraph">
    <w:name w:val="First Paragraph"/>
    <w:basedOn w:val="BodyText"/>
    <w:next w:val="BodyText"/>
    <w:qFormat/>
    <w:rsid w:val="00F45C1F"/>
    <w:pPr>
      <w:spacing w:after="120" w:before="360"/>
    </w:pPr>
  </w:style>
  <w:style w:customStyle="1" w:styleId="Compact" w:type="paragraph">
    <w:name w:val="Compact"/>
    <w:next w:val="FirstParagraph"/>
    <w:qFormat/>
    <w:rsid w:val="009F4E1E"/>
    <w:pPr>
      <w:spacing w:after="36" w:before="36"/>
    </w:pPr>
    <w:rPr>
      <w:rFonts w:ascii="Calibri" w:cs="Calibri" w:hAnsi="Calibri"/>
      <w:sz w:val="22"/>
      <w:szCs w:val="22"/>
    </w:rPr>
  </w:style>
  <w:style w:styleId="Title" w:type="paragraph">
    <w:name w:val="Title"/>
    <w:basedOn w:val="Normal"/>
    <w:next w:val="BodyText"/>
    <w:link w:val="TitleChar"/>
    <w:uiPriority w:val="10"/>
    <w:qFormat/>
    <w:rsid w:val="00F45C1F"/>
    <w:pPr>
      <w:spacing w:line="276" w:lineRule="auto"/>
    </w:pPr>
    <w:rPr>
      <w:b/>
      <w:bCs/>
      <w:caps/>
      <w:color w:val="1F355E"/>
      <w:sz w:val="44"/>
      <w:szCs w:val="44"/>
      <w:lang w:eastAsia="de-DE" w:val="en-GB"/>
    </w:rPr>
  </w:style>
  <w:style w:customStyle="1" w:styleId="TitleChar" w:type="character">
    <w:name w:val="Title Char"/>
    <w:basedOn w:val="DefaultParagraphFont"/>
    <w:link w:val="Title"/>
    <w:uiPriority w:val="10"/>
    <w:rsid w:val="00F45C1F"/>
    <w:rPr>
      <w:rFonts w:ascii="Calibri" w:hAnsi="Calibri"/>
      <w:b/>
      <w:bCs/>
      <w:caps/>
      <w:color w:val="1F355E"/>
      <w:sz w:val="44"/>
      <w:szCs w:val="44"/>
      <w:lang w:eastAsia="de-DE" w:val="en-GB"/>
    </w:rPr>
  </w:style>
  <w:style w:styleId="Subtitle" w:type="paragraph">
    <w:name w:val="Subtitle"/>
    <w:basedOn w:val="Title"/>
    <w:next w:val="BodyText"/>
    <w:link w:val="SubtitleChar"/>
    <w:uiPriority w:val="11"/>
    <w:qFormat/>
    <w:rsid w:val="00A10FD9"/>
    <w:pPr>
      <w:numPr>
        <w:ilvl w:val="1"/>
      </w:numPr>
      <w:ind w:left="851"/>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rsid w:val="00F45C1F"/>
    <w:pPr>
      <w:keepNext/>
      <w:keepLines/>
      <w:ind w:left="851"/>
    </w:pPr>
    <w:rPr>
      <w:rFonts w:ascii="Calibri" w:cs="Calibri" w:hAnsi="Calibri"/>
    </w:rPr>
  </w:style>
  <w:style w:styleId="Date" w:type="paragraph">
    <w:name w:val="Date"/>
    <w:next w:val="BodyText"/>
    <w:qFormat/>
    <w:rsid w:val="009F4E1E"/>
    <w:pPr>
      <w:keepNext/>
      <w:keepLines/>
      <w:ind w:left="851"/>
    </w:pPr>
    <w:rPr>
      <w:rFonts w:ascii="Calibri" w:cs="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9F4E1E"/>
    <w:pPr>
      <w:keepNext/>
      <w:keepLines/>
      <w:spacing w:after="300" w:before="240"/>
    </w:pPr>
    <w:rPr>
      <w:sz w:val="24"/>
      <w:szCs w:val="24"/>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E22034"/>
    <w:rPr>
      <w:rFonts w:ascii="Calibri" w:cs="Times New Roman" w:eastAsia="Batang" w:hAnsi="Calibri"/>
      <w:b/>
      <w:caps/>
      <w:color w:val="1F355E"/>
      <w:sz w:val="32"/>
      <w:szCs w:val="32"/>
      <w:lang w:eastAsia="de-DE" w:val="en-GB"/>
    </w:rPr>
  </w:style>
  <w:style w:customStyle="1" w:styleId="Heading2Char" w:type="character">
    <w:name w:val="Heading 2 Char"/>
    <w:basedOn w:val="DefaultParagraphFont"/>
    <w:link w:val="Heading2"/>
    <w:uiPriority w:val="9"/>
    <w:rsid w:val="00F45C1F"/>
    <w:rPr>
      <w:rFonts w:ascii="Calibri" w:cs="Times New Roman" w:eastAsia="Batang" w:hAnsi="Calibri"/>
      <w:b/>
      <w:bCs/>
      <w:caps/>
      <w:color w:val="1F355E"/>
      <w:kern w:val="32"/>
      <w:lang w:eastAsia="ar-SA" w:val="en-IE"/>
    </w:rPr>
  </w:style>
  <w:style w:customStyle="1" w:styleId="Heading3Char" w:type="character">
    <w:name w:val="Heading 3 Char"/>
    <w:basedOn w:val="DefaultParagraphFont"/>
    <w:link w:val="Heading3"/>
    <w:uiPriority w:val="9"/>
    <w:rsid w:val="009F4E1E"/>
    <w:rPr>
      <w:rFonts w:ascii="Calibri" w:cs="Times New Roman" w:eastAsia="Batang" w:hAnsi="Calibri"/>
      <w:b/>
      <w:bCs/>
      <w:iCs/>
      <w:color w:val="1F355E"/>
      <w:szCs w:val="28"/>
      <w:lang w:val="en-GB"/>
    </w:rPr>
  </w:style>
  <w:style w:customStyle="1" w:styleId="Heading4Char" w:type="character">
    <w:name w:val="Heading 4 Char"/>
    <w:basedOn w:val="DefaultParagraphFont"/>
    <w:link w:val="Heading4"/>
    <w:uiPriority w:val="9"/>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9F4E1E"/>
    <w:rPr>
      <w:sz w:val="18"/>
      <w:szCs w:val="18"/>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before="0"/>
    </w:pPr>
    <w:rPr>
      <w:i/>
    </w:rPr>
  </w:style>
  <w:style w:customStyle="1" w:styleId="TableCaption" w:type="paragraph">
    <w:name w:val="Table Caption"/>
    <w:basedOn w:val="Caption"/>
    <w:rsid w:val="009F4E1E"/>
    <w:pPr>
      <w:keepNext/>
    </w:pPr>
    <w:rPr>
      <w:color w:val="1F355E"/>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color w:themeColor="accent1" w:themeShade="BF" w:val="0F4761"/>
    </w:rPr>
  </w:style>
  <w:style w:styleId="TOC1" w:type="paragraph">
    <w:name w:val="toc 1"/>
    <w:basedOn w:val="Normal"/>
    <w:next w:val="Normal"/>
    <w:autoRedefine/>
    <w:rsid w:val="00F45C1F"/>
    <w:pPr>
      <w:spacing w:after="100"/>
    </w:pPr>
  </w:style>
  <w:style w:customStyle="1" w:styleId="RSFootnotetext" w:type="paragraph">
    <w:name w:val="RS Footnote text"/>
    <w:basedOn w:val="Normal"/>
    <w:link w:val="RSFootnotetextChar"/>
    <w:autoRedefine/>
    <w:qFormat/>
    <w:rsid w:val="00F45C1F"/>
    <w:pPr>
      <w:spacing w:after="0"/>
      <w:ind w:hanging="425" w:left="425"/>
    </w:pPr>
    <w:rPr>
      <w:rFonts w:eastAsia="Batang"/>
      <w:sz w:val="18"/>
      <w:szCs w:val="18"/>
      <w:lang w:eastAsia="de-DE" w:val="en-GB"/>
    </w:rPr>
  </w:style>
  <w:style w:customStyle="1" w:styleId="RSFootnotetextChar" w:type="character">
    <w:name w:val="RS Footnote text Char"/>
    <w:link w:val="RSFootnotetext"/>
    <w:rsid w:val="00F45C1F"/>
    <w:rPr>
      <w:rFonts w:ascii="Calibri" w:cs="Calibri" w:eastAsia="Batang" w:hAnsi="Calibri"/>
      <w:sz w:val="18"/>
      <w:szCs w:val="18"/>
      <w:lang w:eastAsia="de-DE" w:val="en-GB"/>
    </w:rPr>
  </w:style>
  <w:style w:styleId="Header" w:type="paragraph">
    <w:name w:val="header"/>
    <w:basedOn w:val="Normal"/>
    <w:link w:val="HeaderChar"/>
    <w:uiPriority w:val="99"/>
    <w:rsid w:val="009F4E1E"/>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9F4E1E"/>
    <w:rPr>
      <w:rFonts w:ascii="Calibri" w:cs="Calibri" w:hAnsi="Calibri"/>
      <w:sz w:val="22"/>
      <w:szCs w:val="22"/>
    </w:rPr>
  </w:style>
  <w:style w:styleId="Footer" w:type="paragraph">
    <w:name w:val="footer"/>
    <w:basedOn w:val="Normal"/>
    <w:link w:val="FooterChar"/>
    <w:rsid w:val="009F4E1E"/>
    <w:pPr>
      <w:tabs>
        <w:tab w:pos="4513" w:val="center"/>
        <w:tab w:pos="9026" w:val="right"/>
      </w:tabs>
      <w:spacing w:after="0" w:before="0" w:line="240" w:lineRule="auto"/>
    </w:pPr>
  </w:style>
  <w:style w:customStyle="1" w:styleId="FooterChar" w:type="character">
    <w:name w:val="Footer Char"/>
    <w:basedOn w:val="DefaultParagraphFont"/>
    <w:link w:val="Footer"/>
    <w:rsid w:val="009F4E1E"/>
    <w:rPr>
      <w:rFonts w:ascii="Calibri" w:cs="Calibri" w:hAnsi="Calibri"/>
      <w:sz w:val="22"/>
      <w:szCs w:val="22"/>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Type="http://schemas.openxmlformats.org/officeDocument/2006/relationships/image" Id="rId21" Target="media/rId21.png" /><Relationship Type="http://schemas.openxmlformats.org/officeDocument/2006/relationships/image" Id="rId33" Target="media/rId33.png" /><Relationship Type="http://schemas.openxmlformats.org/officeDocument/2006/relationships/image" Id="rId28" Target="media/rId28.png" /><Relationship Type="http://schemas.openxmlformats.org/officeDocument/2006/relationships/image" Id="rId97" Target="media/rId97.png" /><Relationship Type="http://schemas.openxmlformats.org/officeDocument/2006/relationships/image" Id="rId50" Target="media/rId50.png" /><Relationship Type="http://schemas.openxmlformats.org/officeDocument/2006/relationships/image" Id="rId46" Target="media/rId46.png" /><Relationship Type="http://schemas.openxmlformats.org/officeDocument/2006/relationships/image" Id="rId70" Target="media/rId70.png" /><Relationship Type="http://schemas.openxmlformats.org/officeDocument/2006/relationships/image" Id="rId90" Target="media/rId90.png" /><Relationship Type="http://schemas.openxmlformats.org/officeDocument/2006/relationships/image" Id="rId37" Target="media/rId37.png" /><Relationship Type="http://schemas.openxmlformats.org/officeDocument/2006/relationships/image" Id="rId56" Target="media/rId56.png" /><Relationship Type="http://schemas.openxmlformats.org/officeDocument/2006/relationships/image" Id="rId66" Target="media/rId66.png" /><Relationship Type="http://schemas.openxmlformats.org/officeDocument/2006/relationships/image" Id="rId75" Target="media/rId75.png" /><Relationship Type="http://schemas.openxmlformats.org/officeDocument/2006/relationships/image" Id="rId83" Target="media/rId83.png" /><Relationship Type="http://schemas.openxmlformats.org/officeDocument/2006/relationships/image" Id="rId41" Target="media/rId41.png" /><Relationship Type="http://schemas.openxmlformats.org/officeDocument/2006/relationships/image" Id="rId60" Target="media/rId60.png" /><Relationship Type="http://schemas.openxmlformats.org/officeDocument/2006/relationships/hyperlink" Id="rId107" Target="https://doi.org/10.1016/j.jebo.2021.03.017" TargetMode="External" /><Relationship Type="http://schemas.openxmlformats.org/officeDocument/2006/relationships/hyperlink" Id="rId111" Target="https://doi.org/10.1017/psrm.2023.57" TargetMode="External" /><Relationship Type="http://schemas.openxmlformats.org/officeDocument/2006/relationships/hyperlink" Id="rId124" Target="https://doi.org/10.1057/s41269-022-00260-9" TargetMode="External" /><Relationship Type="http://schemas.openxmlformats.org/officeDocument/2006/relationships/hyperlink" Id="rId120" Target="https://doi.org/10.11126/stanford/9780804782524.001.0001" TargetMode="External" /><Relationship Type="http://schemas.openxmlformats.org/officeDocument/2006/relationships/hyperlink" Id="rId114" Target="https://doi.org/10.1177/0268580906061379" TargetMode="External" /><Relationship Type="http://schemas.openxmlformats.org/officeDocument/2006/relationships/hyperlink" Id="rId109" Target="https://doi.org/10.1177/09589287211066469" TargetMode="External" /><Relationship Type="http://schemas.openxmlformats.org/officeDocument/2006/relationships/hyperlink" Id="rId105" Target="https://doi.org/10.1177/09589287241290742" TargetMode="External" /><Relationship Type="http://schemas.openxmlformats.org/officeDocument/2006/relationships/hyperlink" Id="rId116" Target="https://doi.org/10.26504/jr7" TargetMode="External" /><Relationship Type="http://schemas.openxmlformats.org/officeDocument/2006/relationships/hyperlink" Id="rId118" Target="https://doi.org/10.3390/soc9030050" TargetMode="External" /><Relationship Type="http://schemas.openxmlformats.org/officeDocument/2006/relationships/hyperlink" Id="rId122" Target="https://scholar.google.com/scholar?cluster=14780777134980176311&amp;hl=en&amp;oi=scholarr" TargetMode="External" /></Relationships>
</file>

<file path=word/_rels/footnotes.xml.rels><?xml version="1.0" encoding="UTF-8"?><Relationships xmlns="http://schemas.openxmlformats.org/package/2006/relationships"><Relationship Type="http://schemas.openxmlformats.org/officeDocument/2006/relationships/hyperlink" Id="rId107" Target="https://doi.org/10.1016/j.jebo.2021.03.017" TargetMode="External" /><Relationship Type="http://schemas.openxmlformats.org/officeDocument/2006/relationships/hyperlink" Id="rId111" Target="https://doi.org/10.1017/psrm.2023.57" TargetMode="External" /><Relationship Type="http://schemas.openxmlformats.org/officeDocument/2006/relationships/hyperlink" Id="rId124" Target="https://doi.org/10.1057/s41269-022-00260-9" TargetMode="External" /><Relationship Type="http://schemas.openxmlformats.org/officeDocument/2006/relationships/hyperlink" Id="rId120" Target="https://doi.org/10.11126/stanford/9780804782524.001.0001" TargetMode="External" /><Relationship Type="http://schemas.openxmlformats.org/officeDocument/2006/relationships/hyperlink" Id="rId114" Target="https://doi.org/10.1177/0268580906061379" TargetMode="External" /><Relationship Type="http://schemas.openxmlformats.org/officeDocument/2006/relationships/hyperlink" Id="rId109" Target="https://doi.org/10.1177/09589287211066469" TargetMode="External" /><Relationship Type="http://schemas.openxmlformats.org/officeDocument/2006/relationships/hyperlink" Id="rId105" Target="https://doi.org/10.1177/09589287241290742" TargetMode="External" /><Relationship Type="http://schemas.openxmlformats.org/officeDocument/2006/relationships/hyperlink" Id="rId116" Target="https://doi.org/10.26504/jr7" TargetMode="External" /><Relationship Type="http://schemas.openxmlformats.org/officeDocument/2006/relationships/hyperlink" Id="rId118" Target="https://doi.org/10.3390/soc9030050" TargetMode="External" /><Relationship Type="http://schemas.openxmlformats.org/officeDocument/2006/relationships/hyperlink" Id="rId122" Target="https://scholar.google.com/scholar?cluster=14780777134980176311&amp;hl=en&amp;oi=scholar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2</Pages>
  <Words>105</Words>
  <Characters>605</Characters>
  <Application>Microsoft Office Word</Application>
  <DocSecurity>0</DocSecurity>
  <Lines>5</Lines>
  <Paragraphs>1</Paragraphs>
  <ScaleCrop>false</ScaleCrop>
  <Company/>
  <LinksUpToDate>false</LinksUpToDate>
  <CharactersWithSpaces>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Public support for welfare and redistributive policies in Ireland</dc:title>
  <dc:creator/>
  <cp:keywords/>
  <dcterms:created xsi:type="dcterms:W3CDTF">2025-06-25T17:06:48Z</dcterms:created>
  <dcterms:modified xsi:type="dcterms:W3CDTF">2025-06-25T17:06:48Z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_assets/CFI_Redistribution.bib</vt:lpwstr>
  </property>
  <property fmtid="{D5CDD505-2E9C-101B-9397-08002B2CF9AE}" pid="4" name="execute">
    <vt:lpwstr/>
  </property>
  <property fmtid="{D5CDD505-2E9C-101B-9397-08002B2CF9AE}" pid="5" name="fig-cap-location">
    <vt:lpwstr>bottom</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nk-citations">
    <vt:lpwstr>True</vt:lpwstr>
  </property>
  <property fmtid="{D5CDD505-2E9C-101B-9397-08002B2CF9AE}" pid="11" name="toc-title">
    <vt:lpwstr>Table of contents</vt:lpwstr>
  </property>
</Properties>
</file>