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384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38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418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41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Simulate the system with the given parameter values, using the MATLAB script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hodgkin_huxley.m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Print the plot.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Answer these questions, looking at the code for the MATLAB script, and at the plot: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i) For how long an interval, and at which two times, is the current I_applied being applied?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ii) What is the difference between the two pulses (besides their being applied at different times, obviously)?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ii) How did the system react to each of the two pulses?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Generate plots of m and h (on the same plot), using these commands in the MATLAB file, after the current figure: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figure(2)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set(gca,'fontsize',14)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plot(t,s(:,2), t,s(:,3), 'Linewidth', 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legend('m','h')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print your answer.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verifies that m(t) and h(t) tend to “cancel each other out” through most of the process (except during a spike!).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d) Now add this code, which generates plots for the sodium and potassium currents (I used the range 3800:4200 to focus on the part of the plot where the action potential happened):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figure(3)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I_Na = g_N_bar*(s(:,1)-E_N).*s(:,2).^3.*s(:,3);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I_K =  g_K_bar*(s(:,1)-E_K).*s(:,4).^4;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figure(3)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set(gca,'fontsize',14)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plot(t(3800:4200),I_Na(3800:4200),t(3800:4200),I_K(3800:4200),'Linewidth',2)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legend('Na current, K current')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 and print.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Observe that </w:t>
      </w:r>
      <w:r w:rsidRPr="00000000" w:rsidR="00000000" w:rsidDel="00000000">
        <w:rPr>
          <w:rtl w:val="0"/>
        </w:rPr>
        <w:t xml:space="preserve">the action potential begins with a sodium influx, followed by the flow of potassium out of the cell.  (This is seen in the delay in changes between the blue and green lines.)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hodgkin_huxley.docx</dc:title>
</cp:coreProperties>
</file>