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eastAsia="맑은 고딕"/>
          <w:b/>
          <w:color w:val="00467F"/>
          <w:sz w:val="36"/>
        </w:rPr>
        <w:t>흉부 X선 이미지 기반 폐렴 탐지 모델 개발</w:t>
      </w:r>
    </w:p>
    <w:p>
      <w:pPr>
        <w:spacing w:before="0" w:after="240"/>
        <w:jc w:val="center"/>
      </w:pPr>
      <w:r>
        <w:rPr>
          <w:rFonts w:eastAsia="맑은 고딕"/>
          <w:b w:val="0"/>
          <w:color w:val="505050"/>
          <w:sz w:val="22"/>
        </w:rPr>
        <w:t>Cross-Dataset Generalization and Domain Shift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793" w:hRule="atLeast"/>
        </w:trPr>
        <w:tc>
          <w:tcPr>
            <w:tcW w:type="dxa" w:w="2268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0"/>
              </w:rPr>
              <w:t>프로젝트 요약</w:t>
            </w:r>
          </w:p>
        </w:tc>
        <w:tc>
          <w:tcPr>
            <w:tcW w:type="dxa" w:w="6804"/>
            <w:gridSpan w:val="3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  <w:t>Kaggle 흉부 X선으로 학습한 폐렴 탐지 모델의 RSNA 외부 데이터 일반화 성능을 전처리·모델·임계값·손실함수 Ablation을 통해 체계적으로 분석하고, 도메인 시프트의 근본 원인을 규명한 프로젝트.</w:t>
            </w:r>
          </w:p>
        </w:tc>
      </w:tr>
      <w:tr>
        <w:trPr>
          <w:trHeight w:val="680" w:hRule="atLeast"/>
        </w:trPr>
        <w:tc>
          <w:tcPr>
            <w:tcW w:type="dxa" w:w="2268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0"/>
              </w:rPr>
              <w:t>기술 키워드</w:t>
            </w:r>
          </w:p>
        </w:tc>
        <w:tc>
          <w:tcPr>
            <w:tcW w:type="dxa" w:w="6804"/>
            <w:gridSpan w:val="3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  <w:t>TorchXRayVision · DenseNet-121 · Transfer Learning · Otsu Thresholding · Focal Loss · Grad-CAM · Domain Shift</w:t>
            </w:r>
          </w:p>
        </w:tc>
      </w:tr>
      <w:tr>
        <w:trPr>
          <w:trHeight w:val="567" w:hRule="atLeast"/>
        </w:trPr>
        <w:tc>
          <w:tcPr>
            <w:tcW w:type="dxa" w:w="2268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0"/>
              </w:rPr>
              <w:t>팀명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  <w:t>우리팀</w:t>
            </w:r>
          </w:p>
        </w:tc>
        <w:tc>
          <w:tcPr>
            <w:tcW w:type="dxa" w:w="2268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0"/>
              </w:rPr>
              <w:t>팀원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  <w:t>정희승, 강우혁, 조민규</w:t>
            </w:r>
          </w:p>
        </w:tc>
      </w:tr>
      <w:tr>
        <w:trPr>
          <w:trHeight w:val="1247" w:hRule="atLeast"/>
        </w:trPr>
        <w:tc>
          <w:tcPr>
            <w:tcW w:type="dxa" w:w="2268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0"/>
              </w:rPr>
              <w:t>목적 및</w:t>
              <w:br/>
              <w:t>필요성</w:t>
            </w:r>
          </w:p>
        </w:tc>
        <w:tc>
          <w:tcPr>
            <w:tcW w:type="dxa" w:w="6804"/>
            <w:gridSpan w:val="3"/>
            <w:vAlign w:val="top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  <w:t>병원·장비 간 X선 이미지 분포 차이(Domain Shift)로 인해 단일 데이터셋 학습 모델의 외부 검증 성능이 크게 저하되는 문제를 해결하고자 함. 의료 도메인 특화 사전학습과 폐 영역 중심 전처리를 결합하여 다기관 적용 가능한 일반화 모델을 개발하는 것을 목적으로 함.</w:t>
            </w:r>
          </w:p>
        </w:tc>
      </w:tr>
      <w:tr>
        <w:trPr>
          <w:trHeight w:val="1247" w:hRule="atLeast"/>
        </w:trPr>
        <w:tc>
          <w:tcPr>
            <w:tcW w:type="dxa" w:w="2268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0"/>
              </w:rPr>
              <w:t>프로젝트</w:t>
              <w:br/>
              <w:t>개요</w:t>
            </w:r>
          </w:p>
        </w:tc>
        <w:tc>
          <w:tcPr>
            <w:tcW w:type="dxa" w:w="6804"/>
            <w:gridSpan w:val="3"/>
            <w:vAlign w:val="top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  <w:t>Kaggle Chest X-ray(학습·검증)와 RSNA Pneumonia Challenge(외부 평가 전용) 두 데이터셋을 사용. Baseline CNN, ResNet50(ImageNet), TorchXRayVision DenseNet-121(CheXpert) 세 모델을 비교. 폐 영역 크롭 전처리·임계값 정책 5종·BCE vs Focal Loss Ablation Study 수행.</w:t>
            </w:r>
          </w:p>
        </w:tc>
      </w:tr>
      <w:tr>
        <w:trPr>
          <w:trHeight w:val="1247" w:hRule="atLeast"/>
        </w:trPr>
        <w:tc>
          <w:tcPr>
            <w:tcW w:type="dxa" w:w="2268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0"/>
              </w:rPr>
              <w:t>추진 성과</w:t>
            </w:r>
          </w:p>
        </w:tc>
        <w:tc>
          <w:tcPr>
            <w:tcW w:type="dxa" w:w="6804"/>
            <w:gridSpan w:val="3"/>
            <w:vAlign w:val="top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  <w:t>최종 모델(TXV + 폐크롭 + BCE): RSNA 외부 AUC 0.8222 / F1 0.7837 달성 (Baseline CNN AUC 0.640 대비 +0.182). 임계값 Ablation: ΔF1 ≤ 0.05 → 도메인 시프트는 표현(Representation) 문제 규명. Grad-CAM: FP 케이스에서 비폐 영역 활성화 — 데이터셋 특화 텍스처 편향 시각적 확인.</w:t>
            </w:r>
          </w:p>
        </w:tc>
      </w:tr>
      <w:tr>
        <w:trPr>
          <w:trHeight w:val="1247" w:hRule="atLeast"/>
        </w:trPr>
        <w:tc>
          <w:tcPr>
            <w:tcW w:type="dxa" w:w="2268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0"/>
              </w:rPr>
              <w:t>기대 효과 및</w:t>
              <w:br/>
              <w:t>후속 활용</w:t>
              <w:br/>
              <w:t>방안</w:t>
            </w:r>
          </w:p>
        </w:tc>
        <w:tc>
          <w:tcPr>
            <w:tcW w:type="dxa" w:w="6804"/>
            <w:gridSpan w:val="3"/>
            <w:vAlign w:val="top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  <w:t>의료 접근성이 낮은 환경에서 단일 데이터 학습으로 다기관 적용 가능한 폐렴 탐지 모델 제공. 향후 Domain Adversarial Training, 다중 센터 Federated Learning, 더 큰 백본 비교 실험으로 확장 예정.</w:t>
            </w:r>
          </w:p>
        </w:tc>
      </w:tr>
    </w:tbl>
    <w:p>
      <w:pPr>
        <w:spacing w:before="0" w:after="80"/>
        <w:jc w:val="left"/>
      </w:pPr>
    </w:p>
    <w:p>
      <w:pPr>
        <w:spacing w:before="240" w:after="80"/>
        <w:jc w:val="left"/>
      </w:pPr>
      <w:r>
        <w:rPr>
          <w:rFonts w:eastAsia="맑은 고딕"/>
          <w:b/>
          <w:sz w:val="24"/>
        </w:rPr>
        <w:t>2. 목적 및 필요성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문제 인식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폐렴은 전 세계 연간 약 250만 명의 사망을 야기하는 주요 감염성 질환이며, 흉부 X선(Chest X-ray)은 가장 빠르고 접근성 높은 진단 수단이다.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딥러닝 기반 자동 판독 시스템은 인력 부족 문제를 해소할 수 있으나, 병원마다 다른 촬영 장비·환자군·이미지 품질로 인해 도메인 시프트(Domain Shift) 문제가 발생한다.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특정 병원 데이터로 학습한 모델이 다른 병원 데이터에서 성능이 크게 떨어지는 현상으로, 본 프로젝트에서도 내부 AUC 0.997 → 외부 AUC 0.783으로 0.21 하락을 확인하였다.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기획 의도 (문제해결)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학습에 사용하지 않은 외부 데이터셋(RSNA)에서의 일반화 성능을 핵심 평가 지표로 설정, 실제 임상 배포 시나리오를 모사하는 Zero-shot 외부 검증 설계를 채택하였다.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의료 도메인 특화 사전학습 모델(TorchXRayVision)을 활용하여 의료 이미지에 최적화된 특징 표현을 학습하도록 하였다.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Otsu Threshold 기반 폐 영역 크롭 전처리를 도입하여 데이터셋 간 배경 아티팩트 차이를 줄이고 폐 실질 영역에 집중하도록 유도하였다.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Ablation Study(임계값 정책 5종, BCE vs Focal Loss)를 통해 도메인 시프트의 근본 원인을 정량적으로 규명하였다.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시장/소비자 동향/분석, 경쟁 제품 비교/차별화 요소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의료 AI 영상 판독 시장은 빠르게 성장 중이며, 도메인 적응(Domain Adaptation)은 실용화를 위한 핵심 연구 과제로 부각되고 있다.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기존 연구들은 대부분 단일 데이터셋 성능만 보고하거나 RSNA 학습 데이터를 일부 활용하여 순수 일반화 능력 측정이 어렵다.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본 프로젝트는 RSNA 데이터를 학습·튜닝에 일절 사용하지 않는 순수 외부 검증으로 차별화하며, 전처리+모델+임계값+손실함수 4가지 요인을 동시에 Ablation한다.</w:t>
      </w:r>
    </w:p>
    <w:p>
      <w:pPr>
        <w:spacing w:before="0" w:after="80"/>
        <w:jc w:val="left"/>
      </w:pPr>
    </w:p>
    <w:p>
      <w:pPr>
        <w:spacing w:before="240" w:after="80"/>
        <w:jc w:val="left"/>
      </w:pPr>
      <w:r>
        <w:rPr>
          <w:rFonts w:eastAsia="맑은 고딕"/>
          <w:b/>
          <w:sz w:val="24"/>
        </w:rPr>
        <w:t>3. 프로젝트 개요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프로젝트 소개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Kaggle Chest X-ray 데이터셋으로 폐렴 탐지 딥러닝 모델을 학습하고, RSNA Pneumonia Challenge 데이터셋으로 외부 일반화 성능을 평가한다.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세 모델(Baseline CNN / ResNet50 / TorchXRayVision)을 비교하고, 폐 영역 크롭 전처리·임계값 정책·손실 함수에 대한 Ablation Study를 수행하여 도메인 시프트의 원인을 규명한다.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적용기술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TorchXRayVision — DenseNet-121(CheXpert 사전학습, 6.97M 파라미터) 의료 도메인 특화 모델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OpenCV Otsu Thresholding — 별도 세그멘테이션 모델 없이 폐 영역 Bounding Box 추출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Youden's J 통계량 — 임계값 최적화 (J = Sensitivity + Specificity − 1)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Focal Loss (α=0.25, γ=2.0) — 클래스 불균형 대응 손실 함수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Grad-CAM — 모델 판단 근거 시각화 (설명 가능한 AI)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주요 기능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흉부 X선 이미지 입력 → 폐 영역 자동 크롭 → 폐렴 확률 예측 (P ∈ [0,1])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내부(Kaggle) / 외부(RSNA) 성능 동시 측정으로 도메인 일반화 능력 정량 평가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임계값 정책 5종 자동 비교 — 최적 임계값 탐색 및 한계 분석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Grad-CAM 히트맵 생성 — TP/TN/FP/FN 케이스별 모델 집중 영역 시각화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결과물 형태 및 서비스 방식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학술 연구 형태: 재현 가능한 실험 코드(Python), 학습 완료 모델 가중치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흉부 X선 이미지를 입력받아 폐렴 확률과 Grad-CAM 히트맵을 출력하는 추론 스크립트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성능 비교 표·Ablation 결과·Grad-CAM 이미지로 구성된 분석 보고서 및 발표자료(PPT)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1"/>
              </w:rPr>
              <w:t>담  당</w:t>
            </w:r>
          </w:p>
        </w:tc>
        <w:tc>
          <w:tcPr>
            <w:tcW w:type="dxa" w:w="4536"/>
            <w:vAlign w:val="center"/>
            <w:shd w:val="clear" w:color="auto" w:fill="BDD7EE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1"/>
              </w:rPr>
              <w:t>역할 및 상세 활동</w:t>
            </w:r>
          </w:p>
        </w:tc>
      </w:tr>
      <w:tr>
        <w:trPr>
          <w:trHeight w:val="850" w:hRule="atLeast"/>
        </w:trPr>
        <w:tc>
          <w:tcPr>
            <w:tcW w:type="dxa" w:w="4536"/>
            <w:vAlign w:val="center"/>
            <w:shd w:val="clear" w:color="auto" w:fill="F2F2F2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1"/>
              </w:rPr>
              <w:t>정희승</w:t>
            </w:r>
          </w:p>
        </w:tc>
        <w:tc>
          <w:tcPr>
            <w:tcW w:type="dxa" w:w="4536"/>
            <w:vAlign w:val="top"/>
            <w:shd w:val="clear" w:color="auto" w:fill="F2F2F2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21"/>
              </w:rPr>
              <w:t>TorchXRayVision 도입 및 학습 설계 / 임계값 평가 프레임워크 설계 / Focal Loss 실험 (α=0.25, γ=2.0) / 도메인 시프트 원인 분석 / 발표</w:t>
            </w:r>
          </w:p>
        </w:tc>
      </w:tr>
      <w:tr>
        <w:trPr>
          <w:trHeight w:val="850" w:hRule="atLeast"/>
        </w:trPr>
        <w:tc>
          <w:tcPr>
            <w:tcW w:type="dxa" w:w="4536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1"/>
              </w:rPr>
              <w:t>강우혁</w:t>
            </w:r>
          </w:p>
        </w:tc>
        <w:tc>
          <w:tcPr>
            <w:tcW w:type="dxa" w:w="453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21"/>
              </w:rPr>
              <w:t>임계값 5종 평가 실행 및 결과 분석 / "표현 문제" 핵심 발견 정리 / Proposal 보고서 편집 / 발표 슬라이드(PPT) 제작</w:t>
            </w:r>
          </w:p>
        </w:tc>
      </w:tr>
      <w:tr>
        <w:trPr>
          <w:trHeight w:val="850" w:hRule="atLeast"/>
        </w:trPr>
        <w:tc>
          <w:tcPr>
            <w:tcW w:type="dxa" w:w="4536"/>
            <w:vAlign w:val="center"/>
            <w:shd w:val="clear" w:color="auto" w:fill="F2F2F2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21"/>
              </w:rPr>
              <w:t>조민규</w:t>
            </w:r>
          </w:p>
        </w:tc>
        <w:tc>
          <w:tcPr>
            <w:tcW w:type="dxa" w:w="4536"/>
            <w:vAlign w:val="top"/>
            <w:shd w:val="clear" w:color="auto" w:fill="F2F2F2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21"/>
              </w:rPr>
              <w:t>Kaggle·RSNA 데이터 수집 및 전처리 / 데이터 분할 스크립트 작성 / Baseline CNN·ResNet50 구현 및 학습 / RSNA 외부 평가 실험 / Grad-CAM 시각화</w:t>
            </w:r>
          </w:p>
        </w:tc>
      </w:tr>
    </w:tbl>
    <w:p>
      <w:pPr>
        <w:spacing w:before="0" w:after="80"/>
        <w:jc w:val="left"/>
      </w:pPr>
    </w:p>
    <w:p>
      <w:pPr>
        <w:spacing w:before="240" w:after="80"/>
        <w:jc w:val="left"/>
      </w:pPr>
      <w:r>
        <w:rPr>
          <w:rFonts w:eastAsia="맑은 고딕"/>
          <w:b/>
          <w:sz w:val="24"/>
        </w:rPr>
        <w:t>3. 추진 성과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프로젝트 산출물</w:t>
      </w:r>
    </w:p>
    <w:p>
      <w:pPr>
        <w:spacing w:before="0" w:after="120"/>
        <w:jc w:val="left"/>
      </w:pPr>
      <w:r>
        <w:rPr>
          <w:rFonts w:eastAsia="맑은 고딕"/>
          <w:b w:val="0"/>
          <w:color w:val="646464"/>
          <w:sz w:val="20"/>
        </w:rPr>
        <w:t>(개발 기능 설명, 주요 코드 설명, 기능 구현 결과 등)</w:t>
      </w:r>
    </w:p>
    <w:p>
      <w:pPr>
        <w:spacing w:before="80" w:after="60"/>
        <w:jc w:val="left"/>
      </w:pPr>
      <w:r>
        <w:rPr>
          <w:rFonts w:eastAsia="맑은 고딕"/>
          <w:b/>
          <w:sz w:val="21"/>
        </w:rPr>
        <w:t>[모델 성능 비교]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008"/>
            <w:vAlign w:val="center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FFFFFF"/>
                <w:sz w:val="18"/>
              </w:rPr>
              <w:t>INTERNAL (Kaggle)</w:t>
            </w:r>
          </w:p>
        </w:tc>
        <w:tc>
          <w:tcPr>
            <w:tcW w:type="dxa" w:w="1008"/>
            <w:vAlign w:val="center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008"/>
            <w:vAlign w:val="center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008"/>
            <w:vAlign w:val="center"/>
            <w:shd w:val="clear" w:color="auto" w:fill="2E74B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008"/>
            <w:vAlign w:val="center"/>
            <w:shd w:val="clear" w:color="auto" w:fill="C0504D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FFFFFF"/>
                <w:sz w:val="18"/>
              </w:rPr>
              <w:t>EXTERNAL (RSNA)</w:t>
            </w:r>
          </w:p>
        </w:tc>
        <w:tc>
          <w:tcPr>
            <w:tcW w:type="dxa" w:w="1008"/>
            <w:vAlign w:val="center"/>
            <w:shd w:val="clear" w:color="auto" w:fill="C0504D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008"/>
            <w:vAlign w:val="center"/>
            <w:shd w:val="clear" w:color="auto" w:fill="C0504D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008"/>
            <w:vAlign w:val="center"/>
            <w:shd w:val="clear" w:color="auto" w:fill="C0504D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08"/>
            <w:vAlign w:val="center"/>
            <w:shd w:val="clear" w:color="auto" w:fill="DAE8F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008"/>
            <w:vAlign w:val="center"/>
            <w:shd w:val="clear" w:color="auto" w:fill="DAE8F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AUC</w:t>
            </w:r>
          </w:p>
        </w:tc>
        <w:tc>
          <w:tcPr>
            <w:tcW w:type="dxa" w:w="1008"/>
            <w:vAlign w:val="center"/>
            <w:shd w:val="clear" w:color="auto" w:fill="DAE8F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F1</w:t>
            </w:r>
          </w:p>
        </w:tc>
        <w:tc>
          <w:tcPr>
            <w:tcW w:type="dxa" w:w="1008"/>
            <w:vAlign w:val="center"/>
            <w:shd w:val="clear" w:color="auto" w:fill="DAE8F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Recall</w:t>
            </w:r>
          </w:p>
        </w:tc>
        <w:tc>
          <w:tcPr>
            <w:tcW w:type="dxa" w:w="1008"/>
            <w:vAlign w:val="center"/>
            <w:shd w:val="clear" w:color="auto" w:fill="DAE8F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Prec.</w:t>
            </w:r>
          </w:p>
        </w:tc>
        <w:tc>
          <w:tcPr>
            <w:tcW w:type="dxa" w:w="1008"/>
            <w:vAlign w:val="center"/>
            <w:shd w:val="clear" w:color="auto" w:fill="DAE8F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AUC</w:t>
            </w:r>
          </w:p>
        </w:tc>
        <w:tc>
          <w:tcPr>
            <w:tcW w:type="dxa" w:w="1008"/>
            <w:vAlign w:val="center"/>
            <w:shd w:val="clear" w:color="auto" w:fill="DAE8F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F1</w:t>
            </w:r>
          </w:p>
        </w:tc>
        <w:tc>
          <w:tcPr>
            <w:tcW w:type="dxa" w:w="1008"/>
            <w:vAlign w:val="center"/>
            <w:shd w:val="clear" w:color="auto" w:fill="DAE8F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Recall</w:t>
            </w:r>
          </w:p>
        </w:tc>
        <w:tc>
          <w:tcPr>
            <w:tcW w:type="dxa" w:w="1008"/>
            <w:vAlign w:val="center"/>
            <w:shd w:val="clear" w:color="auto" w:fill="DAE8F5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Prec.</w:t>
            </w:r>
          </w:p>
        </w:tc>
      </w:tr>
      <w:tr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Baseline CNN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0.9613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0.9393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0.9183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0.9612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0.6402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0.6642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0.9700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0.5049</w:t>
            </w:r>
          </w:p>
        </w:tc>
      </w:tr>
      <w:tr>
        <w:tc>
          <w:tcPr>
            <w:tcW w:type="dxa" w:w="100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ResNet50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0.9983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0.9872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0.9821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0.9923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0.7710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0.7165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0.9690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0.5683</w:t>
            </w:r>
          </w:p>
        </w:tc>
      </w:tr>
      <w:tr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TXV (크롭 없음)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0.9968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0.9840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0.9808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0.9871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0.7833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0.7468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0.9380</w:t>
            </w:r>
          </w:p>
        </w:tc>
        <w:tc>
          <w:tcPr>
            <w:tcW w:type="dxa" w:w="1008"/>
            <w:vAlign w:val="center"/>
            <w:shd w:val="clear" w:color="auto" w:fill="F9F9F9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 w:val="0"/>
                <w:color w:val="000000"/>
                <w:sz w:val="18"/>
              </w:rPr>
              <w:t>0.6204</w:t>
            </w:r>
          </w:p>
        </w:tc>
      </w:tr>
      <w:tr>
        <w:tc>
          <w:tcPr>
            <w:tcW w:type="dxa" w:w="1008"/>
            <w:vAlign w:val="center"/>
            <w:shd w:val="clear" w:color="auto" w:fill="E2EFDA"/>
          </w:tcPr>
          <w:p>
            <w:pPr>
              <w:spacing w:before="60" w:after="60"/>
              <w:jc w:val="left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TXV + 폐크롭 ★</w:t>
            </w:r>
          </w:p>
        </w:tc>
        <w:tc>
          <w:tcPr>
            <w:tcW w:type="dxa" w:w="1008"/>
            <w:vAlign w:val="center"/>
            <w:shd w:val="clear" w:color="auto" w:fill="E2EFDA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0.9971</w:t>
            </w:r>
          </w:p>
        </w:tc>
        <w:tc>
          <w:tcPr>
            <w:tcW w:type="dxa" w:w="1008"/>
            <w:vAlign w:val="center"/>
            <w:shd w:val="clear" w:color="auto" w:fill="E2EFDA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0.9848</w:t>
            </w:r>
          </w:p>
        </w:tc>
        <w:tc>
          <w:tcPr>
            <w:tcW w:type="dxa" w:w="1008"/>
            <w:vAlign w:val="center"/>
            <w:shd w:val="clear" w:color="auto" w:fill="E2EFDA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0.9821</w:t>
            </w:r>
          </w:p>
        </w:tc>
        <w:tc>
          <w:tcPr>
            <w:tcW w:type="dxa" w:w="1008"/>
            <w:vAlign w:val="center"/>
            <w:shd w:val="clear" w:color="auto" w:fill="E2EFDA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0.9875</w:t>
            </w:r>
          </w:p>
        </w:tc>
        <w:tc>
          <w:tcPr>
            <w:tcW w:type="dxa" w:w="1008"/>
            <w:vAlign w:val="center"/>
            <w:shd w:val="clear" w:color="auto" w:fill="E2EFDA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0.8222</w:t>
            </w:r>
          </w:p>
        </w:tc>
        <w:tc>
          <w:tcPr>
            <w:tcW w:type="dxa" w:w="1008"/>
            <w:vAlign w:val="center"/>
            <w:shd w:val="clear" w:color="auto" w:fill="E2EFDA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0.7837</w:t>
            </w:r>
          </w:p>
        </w:tc>
        <w:tc>
          <w:tcPr>
            <w:tcW w:type="dxa" w:w="1008"/>
            <w:vAlign w:val="center"/>
            <w:shd w:val="clear" w:color="auto" w:fill="E2EFDA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0.9060</w:t>
            </w:r>
          </w:p>
        </w:tc>
        <w:tc>
          <w:tcPr>
            <w:tcW w:type="dxa" w:w="1008"/>
            <w:vAlign w:val="center"/>
            <w:shd w:val="clear" w:color="auto" w:fill="E2EFDA"/>
          </w:tcPr>
          <w:p>
            <w:pPr>
              <w:spacing w:before="60" w:after="60"/>
              <w:jc w:val="center"/>
            </w:pPr>
            <w:r/>
            <w:r>
              <w:rPr>
                <w:rFonts w:eastAsia="맑은 고딕"/>
                <w:b/>
                <w:color w:val="000000"/>
                <w:sz w:val="18"/>
              </w:rPr>
              <w:t>0.6905</w:t>
            </w:r>
          </w:p>
        </w:tc>
      </w:tr>
    </w:tbl>
    <w:p>
      <w:pPr>
        <w:spacing w:before="0" w:after="80"/>
        <w:jc w:val="left"/>
      </w:pPr>
    </w:p>
    <w:p>
      <w:pPr>
        <w:spacing w:before="80" w:after="60"/>
        <w:jc w:val="left"/>
      </w:pPr>
      <w:r>
        <w:rPr>
          <w:rFonts w:eastAsia="맑은 고딕"/>
          <w:b/>
          <w:sz w:val="21"/>
        </w:rPr>
        <w:t>[주요 코드 설명]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폐 영역 크롭: OpenCV Otsu threshold → 이진 마스크 → connectedComponentsWithStats로 폐 bounding box 추출 → 크롭 → 224×224 리사이즈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TXV 파인튜닝: xrv.models.DenseNet(weights="densenet121-res224-chex") 로드 → classifier 헤드 교체(FC 1024→1) → Adam(lr=1e-4), 10 epochs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임계값 최적화: Kaggle val set에서 Youden's J = Sensitivity + Specificity − 1 최대화 → threshold 결정 → RSNA 고정 적용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Grad-CAM: DenseNet 마지막 dense block feature map + gradient hook → 채널 가중 평균 → ReLU → upsample → 원본 overlay</w:t>
      </w:r>
    </w:p>
    <w:p>
      <w:pPr>
        <w:spacing w:before="0" w:after="80"/>
        <w:jc w:val="left"/>
      </w:pPr>
    </w:p>
    <w:p>
      <w:pPr>
        <w:spacing w:before="80" w:after="60"/>
        <w:jc w:val="left"/>
      </w:pPr>
      <w:r>
        <w:rPr>
          <w:rFonts w:eastAsia="맑은 고딕"/>
          <w:b/>
          <w:sz w:val="21"/>
        </w:rPr>
        <w:t>[Ablation Study 결과 요약]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임계값 정책 5종 비교: ΔF1 ≤ 0.05 → 임계값 조정으로는 외부 성능 개선 불가 → 도메인 시프트는 표현(Representation) 문제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BCE vs Focal Loss: Focal은 Recall 향상(0.906→0.922)이나 AUC·F1 소폭 저하 → 최종 모델은 TXV + 폐크롭 + BCE 채택</w:t>
      </w:r>
    </w:p>
    <w:p>
      <w:pPr>
        <w:spacing w:before="0" w:after="80"/>
        <w:jc w:val="left"/>
      </w:pPr>
    </w:p>
    <w:p>
      <w:pPr>
        <w:spacing w:before="80" w:after="60"/>
        <w:jc w:val="left"/>
      </w:pPr>
      <w:r>
        <w:rPr>
          <w:rFonts w:eastAsia="맑은 고딕"/>
          <w:b/>
          <w:sz w:val="21"/>
        </w:rPr>
        <w:t>[Grad-CAM 분석]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내부(Kaggle): 폐 실질 영역 중심 활성화 — 정상적인 판단 근거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외부(RSNA) FP 케이스: 비폐 영역(횡격막 주변, 이미지 경계) 활성화 → Kaggle 특화 텍스처 편향 시각적 확인</w:t>
      </w:r>
    </w:p>
    <w:p>
      <w:pPr>
        <w:spacing w:before="0" w:after="80"/>
        <w:jc w:val="left"/>
      </w:pPr>
    </w:p>
    <w:p>
      <w:pPr>
        <w:spacing w:before="240" w:after="80"/>
        <w:jc w:val="left"/>
      </w:pPr>
      <w:r>
        <w:rPr>
          <w:rFonts w:eastAsia="맑은 고딕"/>
          <w:b/>
          <w:sz w:val="24"/>
        </w:rPr>
        <w:t>4. 기대효과 및 후속 활용 방안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기대효과</w:t>
      </w:r>
    </w:p>
    <w:p>
      <w:pPr>
        <w:spacing w:before="120" w:after="40"/>
        <w:ind w:left="283"/>
        <w:jc w:val="left"/>
      </w:pPr>
      <w:r>
        <w:rPr>
          <w:rFonts w:eastAsia="맑은 고딕"/>
          <w:b/>
          <w:sz w:val="22"/>
        </w:rPr>
        <w:t>사용자 측면</w:t>
      </w:r>
    </w:p>
    <w:p>
      <w:pPr>
        <w:spacing w:before="40" w:after="40"/>
        <w:ind w:left="567"/>
      </w:pPr>
      <w:r>
        <w:rPr>
          <w:rFonts w:eastAsia="맑은 고딕"/>
          <w:b w:val="0"/>
          <w:sz w:val="22"/>
        </w:rPr>
        <w:t>- 의료 접근성이 낮은 환경(지방 병원, 개발도상국)에서도 신뢰할 수 있는 폐렴 자동 판독 지원</w:t>
      </w:r>
    </w:p>
    <w:p>
      <w:pPr>
        <w:spacing w:before="40" w:after="40"/>
        <w:ind w:left="567"/>
      </w:pPr>
      <w:r>
        <w:rPr>
          <w:rFonts w:eastAsia="맑은 고딕"/>
          <w:b w:val="0"/>
          <w:sz w:val="22"/>
        </w:rPr>
        <w:t>- Grad-CAM 히트맵을 통해 의사가 AI 판단 근거를 직관적으로 확인 가능 → 임상 신뢰성 향상</w:t>
      </w:r>
    </w:p>
    <w:p>
      <w:pPr>
        <w:spacing w:before="120" w:after="40"/>
        <w:ind w:left="283"/>
        <w:jc w:val="left"/>
      </w:pPr>
      <w:r>
        <w:rPr>
          <w:rFonts w:eastAsia="맑은 고딕"/>
          <w:b/>
          <w:sz w:val="22"/>
        </w:rPr>
        <w:t>비즈니스 측면</w:t>
      </w:r>
    </w:p>
    <w:p>
      <w:pPr>
        <w:spacing w:before="40" w:after="40"/>
        <w:ind w:left="567"/>
      </w:pPr>
      <w:r>
        <w:rPr>
          <w:rFonts w:eastAsia="맑은 고딕"/>
          <w:b w:val="0"/>
          <w:sz w:val="22"/>
        </w:rPr>
        <w:t>- 단일 데이터셋으로 학습한 모델을 다른 병원·장비 환경에 재학습 없이 적용 가능 → 배포 비용 절감</w:t>
      </w:r>
    </w:p>
    <w:p>
      <w:pPr>
        <w:spacing w:before="40" w:after="40"/>
        <w:ind w:left="567"/>
      </w:pPr>
      <w:r>
        <w:rPr>
          <w:rFonts w:eastAsia="맑은 고딕"/>
          <w:b w:val="0"/>
          <w:sz w:val="22"/>
        </w:rPr>
        <w:t>- 전처리 파이프라인이 경량(Otsu 기반)이므로 에지 디바이스·저사양 환경에서도 동작</w:t>
      </w:r>
    </w:p>
    <w:p>
      <w:pPr>
        <w:spacing w:before="120" w:after="40"/>
        <w:ind w:left="283"/>
        <w:jc w:val="left"/>
      </w:pPr>
      <w:r>
        <w:rPr>
          <w:rFonts w:eastAsia="맑은 고딕"/>
          <w:b/>
          <w:sz w:val="22"/>
        </w:rPr>
        <w:t>개발자 측면</w:t>
      </w:r>
    </w:p>
    <w:p>
      <w:pPr>
        <w:spacing w:before="40" w:after="40"/>
        <w:ind w:left="567"/>
      </w:pPr>
      <w:r>
        <w:rPr>
          <w:rFonts w:eastAsia="맑은 고딕"/>
          <w:b w:val="0"/>
          <w:sz w:val="22"/>
        </w:rPr>
        <w:t>- "도메인 시프트 = 표현 문제"라는 실증적 근거 제공 → 향후 Domain Adversarial Training 연구 방향 명확화</w:t>
      </w:r>
    </w:p>
    <w:p>
      <w:pPr>
        <w:spacing w:before="40" w:after="40"/>
        <w:ind w:left="567"/>
      </w:pPr>
      <w:r>
        <w:rPr>
          <w:rFonts w:eastAsia="맑은 고딕"/>
          <w:b w:val="0"/>
          <w:sz w:val="22"/>
        </w:rPr>
        <w:t>- 임계값 정책 Ablation 프레임워크는 다른 이진 분류 의료 AI 프로젝트에 재사용 가능</w:t>
      </w:r>
    </w:p>
    <w:p>
      <w:pPr>
        <w:spacing w:before="160" w:after="60"/>
        <w:jc w:val="left"/>
      </w:pPr>
      <w:r>
        <w:rPr>
          <w:rFonts w:eastAsia="맑은 고딕"/>
          <w:b/>
          <w:sz w:val="22"/>
        </w:rPr>
        <w:t xml:space="preserve"> ㅇ 결과물 후속 활용 방안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다중 센터 학습: 여러 병원 데이터를 Federated Learning으로 결합, 실제 다기관 환경 검증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Domain Adversarial Training(DANN) 적용: Grad-CAM에서 확인된 텍스처 편향 제거, 도메인 불변 표현 학습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대형 백본 확장: DenseNet-169, EfficientNet-B4, ViT에 동일 전처리·평가 프레임워크 적용</w:t>
      </w:r>
    </w:p>
    <w:p>
      <w:pPr>
        <w:spacing w:before="40" w:after="40"/>
        <w:ind w:left="454"/>
      </w:pPr>
      <w:r>
        <w:rPr>
          <w:rFonts w:eastAsia="맑은 고딕"/>
          <w:b w:val="0"/>
          <w:sz w:val="22"/>
        </w:rPr>
        <w:t>- 신뢰도 캘리브레이션: Temperature Scaling 도입 → 확률 출력의 신뢰성 향상, 임상 의사결정 지원 시스템 기반 마련</w:t>
      </w:r>
    </w:p>
    <w:p>
      <w:pPr>
        <w:spacing w:before="0" w:after="80"/>
        <w:jc w:val="left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