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19EE" w14:textId="4728FA33" w:rsidR="00F54E17" w:rsidRDefault="00000000" w:rsidP="003E3550">
      <w:pPr>
        <w:pStyle w:val="Title"/>
      </w:pPr>
      <w:bookmarkStart w:id="0" w:name="_gdagf8ic6btl" w:colFirst="0" w:colLast="0"/>
      <w:bookmarkEnd w:id="0"/>
      <w:r>
        <w:t>Quiz 1</w:t>
      </w:r>
      <w:r w:rsidR="003E3550">
        <w:t>1</w:t>
      </w:r>
    </w:p>
    <w:p w14:paraId="65F1921B" w14:textId="77777777" w:rsidR="00F54E17" w:rsidRDefault="00000000">
      <w:pPr>
        <w:spacing w:before="240" w:after="240"/>
      </w:pPr>
      <w:r>
        <w:t>Seborrheic dermatitis is a chronic inflammatory skin condition that affects patients of all ages, with a global presence of 5% or greater. Researchers are still trying to find safe and effective medications for treating this condition.</w:t>
      </w:r>
    </w:p>
    <w:p w14:paraId="7F7EFD0E" w14:textId="77777777" w:rsidR="00F54E17" w:rsidRDefault="00000000">
      <w:pPr>
        <w:spacing w:before="240" w:after="240"/>
      </w:pPr>
      <w:r>
        <w:t xml:space="preserve"> </w:t>
      </w:r>
    </w:p>
    <w:p w14:paraId="45BF0DD4" w14:textId="77777777" w:rsidR="00F54E17" w:rsidRDefault="00000000">
      <w:pPr>
        <w:spacing w:before="240" w:after="240"/>
      </w:pPr>
      <w:r>
        <w:t>In one study, researchers investigated the effects of roflumilast foam for once-daily treatment of seborrheic dermatitis. A total of 207 adults in the US and Canada with a clinical diagnosis of seborrheic dermatitis were enrolled in the study. The patients enrolled were experiencing seborrheic dermatitis at a moderate or severe level as determined by a rating on the IGA (Investigator Global Assessment) scale. The IGA scale rates the severity of the skin condition on a scale of 0 (clear) to 4 (severe). The patients recruited for this study had ratings of 3 (moderate) or 4 (severe).</w:t>
      </w:r>
    </w:p>
    <w:p w14:paraId="4D824EB7" w14:textId="77777777" w:rsidR="00F54E17" w:rsidRDefault="00000000">
      <w:pPr>
        <w:spacing w:before="240" w:after="240"/>
      </w:pPr>
      <w:r>
        <w:t xml:space="preserve"> </w:t>
      </w:r>
    </w:p>
    <w:p w14:paraId="1B128E03" w14:textId="77777777" w:rsidR="00F54E17" w:rsidRDefault="00000000">
      <w:pPr>
        <w:spacing w:before="240" w:after="240"/>
      </w:pPr>
      <w:r>
        <w:t>Patients were randomly assigned to one of two groups in an approximate 2:1 ratio: a roflumilast foam group or a vehicle foam group. (The vehicle foam group contained the same ingredients as the active foam except for the active ingredient, roflumilast.) The patients were instructed on how to apply the foam to the affected areas once daily. They were advised on what other topical and oral medications were allowed during the study period. After 8 weeks, the researchers assessed the condition of the affected areas using the IGA scale. The treatment was classified as a “success” if the IGA rating was 0 (clear) or 1 (almost clear), and a failure otherwise. The results of the study are in the table below.</w:t>
      </w:r>
    </w:p>
    <w:p w14:paraId="31DEC02A" w14:textId="77777777" w:rsidR="00F54E17" w:rsidRDefault="00000000">
      <w:pPr>
        <w:spacing w:before="240" w:after="240"/>
      </w:pPr>
      <w:r>
        <w:t xml:space="preserve"> </w:t>
      </w:r>
    </w:p>
    <w:tbl>
      <w:tblPr>
        <w:tblStyle w:val="a"/>
        <w:tblW w:w="5265" w:type="dxa"/>
        <w:tblBorders>
          <w:top w:val="nil"/>
          <w:left w:val="nil"/>
          <w:bottom w:val="nil"/>
          <w:right w:val="nil"/>
          <w:insideH w:val="nil"/>
          <w:insideV w:val="nil"/>
        </w:tblBorders>
        <w:tblLayout w:type="fixed"/>
        <w:tblLook w:val="0600" w:firstRow="0" w:lastRow="0" w:firstColumn="0" w:lastColumn="0" w:noHBand="1" w:noVBand="1"/>
      </w:tblPr>
      <w:tblGrid>
        <w:gridCol w:w="1755"/>
        <w:gridCol w:w="1755"/>
        <w:gridCol w:w="1755"/>
      </w:tblGrid>
      <w:tr w:rsidR="00F54E17" w14:paraId="25D2F9CA" w14:textId="77777777">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7ED224" w14:textId="77777777" w:rsidR="00F54E17" w:rsidRDefault="00000000">
            <w:r>
              <w:t xml:space="preserve"> </w:t>
            </w:r>
          </w:p>
        </w:tc>
        <w:tc>
          <w:tcPr>
            <w:tcW w:w="17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150827A" w14:textId="77777777" w:rsidR="00F54E17" w:rsidRDefault="00000000">
            <w:pPr>
              <w:rPr>
                <w:b/>
              </w:rPr>
            </w:pPr>
            <w:r>
              <w:rPr>
                <w:b/>
              </w:rPr>
              <w:t>Roflumilast</w:t>
            </w:r>
          </w:p>
        </w:tc>
        <w:tc>
          <w:tcPr>
            <w:tcW w:w="17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8AA3C2B" w14:textId="77777777" w:rsidR="00F54E17" w:rsidRDefault="00000000">
            <w:pPr>
              <w:rPr>
                <w:b/>
              </w:rPr>
            </w:pPr>
            <w:r>
              <w:rPr>
                <w:b/>
              </w:rPr>
              <w:t>Vehicle</w:t>
            </w:r>
          </w:p>
        </w:tc>
      </w:tr>
      <w:tr w:rsidR="00F54E17" w14:paraId="690DC9E9" w14:textId="77777777">
        <w:trPr>
          <w:trHeight w:val="300"/>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9C58EC1" w14:textId="77777777" w:rsidR="00F54E17" w:rsidRDefault="00000000">
            <w:pPr>
              <w:rPr>
                <w:b/>
              </w:rPr>
            </w:pPr>
            <w:r>
              <w:rPr>
                <w:b/>
              </w:rPr>
              <w:t>Success</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1B0249D2" w14:textId="77777777" w:rsidR="00F54E17" w:rsidRDefault="00000000">
            <w:r>
              <w:t>104</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41D6D09C" w14:textId="77777777" w:rsidR="00F54E17" w:rsidRDefault="00000000">
            <w:r>
              <w:t>27</w:t>
            </w:r>
          </w:p>
        </w:tc>
      </w:tr>
      <w:tr w:rsidR="00F54E17" w14:paraId="15EA9DB3" w14:textId="77777777">
        <w:trPr>
          <w:trHeight w:val="300"/>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07D64C" w14:textId="77777777" w:rsidR="00F54E17" w:rsidRDefault="00000000">
            <w:pPr>
              <w:rPr>
                <w:b/>
              </w:rPr>
            </w:pPr>
            <w:r>
              <w:rPr>
                <w:b/>
              </w:rPr>
              <w:t>Failure</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34B4F59B" w14:textId="77777777" w:rsidR="00F54E17" w:rsidRDefault="00000000">
            <w:r>
              <w:t>37</w:t>
            </w:r>
          </w:p>
        </w:tc>
        <w:tc>
          <w:tcPr>
            <w:tcW w:w="1755" w:type="dxa"/>
            <w:tcBorders>
              <w:top w:val="nil"/>
              <w:left w:val="nil"/>
              <w:bottom w:val="single" w:sz="4" w:space="0" w:color="000000"/>
              <w:right w:val="single" w:sz="4" w:space="0" w:color="000000"/>
            </w:tcBorders>
            <w:tcMar>
              <w:top w:w="0" w:type="dxa"/>
              <w:left w:w="100" w:type="dxa"/>
              <w:bottom w:w="0" w:type="dxa"/>
              <w:right w:w="100" w:type="dxa"/>
            </w:tcMar>
          </w:tcPr>
          <w:p w14:paraId="1D3F068A" w14:textId="77777777" w:rsidR="00F54E17" w:rsidRDefault="00000000">
            <w:r>
              <w:t>39</w:t>
            </w:r>
          </w:p>
        </w:tc>
      </w:tr>
    </w:tbl>
    <w:p w14:paraId="64B08D07" w14:textId="77777777" w:rsidR="00F54E17" w:rsidRDefault="00000000">
      <w:pPr>
        <w:spacing w:before="240" w:after="240"/>
      </w:pPr>
      <w:r>
        <w:t xml:space="preserve"> </w:t>
      </w:r>
    </w:p>
    <w:p w14:paraId="641F3DCD" w14:textId="77777777" w:rsidR="00F54E17" w:rsidRDefault="00000000">
      <w:pPr>
        <w:ind w:left="1080"/>
      </w:pPr>
      <w:r>
        <w:t>a.</w:t>
      </w:r>
      <w:r>
        <w:rPr>
          <w:sz w:val="14"/>
          <w:szCs w:val="14"/>
        </w:rPr>
        <w:t xml:space="preserve">        </w:t>
      </w:r>
      <w:r>
        <w:t>Was this study an observational study or an experiment? How can you tell?</w:t>
      </w:r>
    </w:p>
    <w:p w14:paraId="1D92CFC5" w14:textId="77777777" w:rsidR="00F54E17" w:rsidRDefault="00000000">
      <w:pPr>
        <w:ind w:left="1080"/>
      </w:pPr>
      <w:r>
        <w:t xml:space="preserve"> </w:t>
      </w:r>
    </w:p>
    <w:p w14:paraId="24397A6E" w14:textId="77777777" w:rsidR="00F54E17" w:rsidRDefault="00000000">
      <w:pPr>
        <w:ind w:left="1080"/>
      </w:pPr>
      <w:r>
        <w:t xml:space="preserve"> </w:t>
      </w:r>
    </w:p>
    <w:p w14:paraId="4C1A9AD6" w14:textId="77777777" w:rsidR="00F54E17" w:rsidRDefault="00000000">
      <w:pPr>
        <w:ind w:left="1080"/>
      </w:pPr>
      <w:r>
        <w:t xml:space="preserve"> </w:t>
      </w:r>
    </w:p>
    <w:p w14:paraId="33B2EB85" w14:textId="77777777" w:rsidR="00F54E17" w:rsidRDefault="00000000">
      <w:pPr>
        <w:ind w:left="1080"/>
      </w:pPr>
      <w:r>
        <w:t xml:space="preserve"> </w:t>
      </w:r>
    </w:p>
    <w:p w14:paraId="720216BE" w14:textId="77777777" w:rsidR="00F54E17" w:rsidRDefault="00000000">
      <w:pPr>
        <w:ind w:left="1080"/>
      </w:pPr>
      <w:r>
        <w:t xml:space="preserve"> </w:t>
      </w:r>
    </w:p>
    <w:p w14:paraId="239165B7" w14:textId="77777777" w:rsidR="003E3550" w:rsidRDefault="003E3550">
      <w:pPr>
        <w:ind w:left="1080"/>
      </w:pPr>
    </w:p>
    <w:p w14:paraId="552F7786" w14:textId="77777777" w:rsidR="00F54E17" w:rsidRDefault="00000000">
      <w:pPr>
        <w:ind w:left="1080"/>
      </w:pPr>
      <w:r>
        <w:lastRenderedPageBreak/>
        <w:t>b.</w:t>
      </w:r>
      <w:r>
        <w:rPr>
          <w:sz w:val="14"/>
          <w:szCs w:val="14"/>
        </w:rPr>
        <w:t xml:space="preserve">       </w:t>
      </w:r>
      <w:r>
        <w:t xml:space="preserve">Describe what you learn from the data in the table, </w:t>
      </w:r>
      <w:r>
        <w:rPr>
          <w:u w:val="single"/>
        </w:rPr>
        <w:t>mentioning the difference in proportions of successes</w:t>
      </w:r>
      <w:r>
        <w:t xml:space="preserve"> in the two treatment groups. (</w:t>
      </w:r>
      <w:r>
        <w:rPr>
          <w:u w:val="single"/>
        </w:rPr>
        <w:t>Calculate that number!</w:t>
      </w:r>
      <w:r>
        <w:t>) What preliminary conclusions do you draw from this study?</w:t>
      </w:r>
    </w:p>
    <w:p w14:paraId="19093D4D" w14:textId="77777777" w:rsidR="00F54E17" w:rsidRDefault="00000000">
      <w:pPr>
        <w:ind w:left="720"/>
      </w:pPr>
      <w:r>
        <w:t xml:space="preserve"> </w:t>
      </w:r>
    </w:p>
    <w:p w14:paraId="128182D9" w14:textId="77777777" w:rsidR="00F54E17" w:rsidRDefault="00000000">
      <w:pPr>
        <w:ind w:left="720"/>
      </w:pPr>
      <w:r>
        <w:t xml:space="preserve"> </w:t>
      </w:r>
    </w:p>
    <w:p w14:paraId="0D858A70" w14:textId="77777777" w:rsidR="00F54E17" w:rsidRDefault="00000000">
      <w:pPr>
        <w:ind w:left="720"/>
      </w:pPr>
      <w:r>
        <w:t xml:space="preserve"> </w:t>
      </w:r>
    </w:p>
    <w:p w14:paraId="571CA8BA" w14:textId="77777777" w:rsidR="00F54E17" w:rsidRDefault="00000000">
      <w:pPr>
        <w:ind w:left="720"/>
      </w:pPr>
      <w:r>
        <w:t xml:space="preserve"> </w:t>
      </w:r>
    </w:p>
    <w:p w14:paraId="0181D0B3" w14:textId="77777777" w:rsidR="00F54E17" w:rsidRDefault="00000000">
      <w:pPr>
        <w:ind w:left="720"/>
      </w:pPr>
      <w:r>
        <w:t xml:space="preserve"> </w:t>
      </w:r>
    </w:p>
    <w:p w14:paraId="6C30106E" w14:textId="77777777" w:rsidR="00F54E17" w:rsidRDefault="00000000">
      <w:pPr>
        <w:spacing w:before="240"/>
      </w:pPr>
      <w:r>
        <w:t>We will continue to compare the proportions of successes in each group. We usually compare two proportions by examining their difference.</w:t>
      </w:r>
    </w:p>
    <w:p w14:paraId="0AF34F04" w14:textId="77777777" w:rsidR="00F54E17" w:rsidRDefault="00000000">
      <w:pPr>
        <w:ind w:left="1080"/>
      </w:pPr>
      <w:r>
        <w:t>c.</w:t>
      </w:r>
      <w:r>
        <w:rPr>
          <w:sz w:val="14"/>
          <w:szCs w:val="14"/>
        </w:rPr>
        <w:t xml:space="preserve">        </w:t>
      </w:r>
      <w:r>
        <w:t xml:space="preserve">You calculated the statistic “difference in proportions of successes” in part b. What </w:t>
      </w:r>
      <w:r>
        <w:rPr>
          <w:u w:val="single"/>
        </w:rPr>
        <w:t>parameter</w:t>
      </w:r>
      <w:r>
        <w:t xml:space="preserve"> can we use this statistic to estimate? (Keep in mind the study-type and the fact that random assignment was used. </w:t>
      </w:r>
      <w:proofErr w:type="gramStart"/>
      <w:r>
        <w:t>In particular, we</w:t>
      </w:r>
      <w:proofErr w:type="gramEnd"/>
      <w:r>
        <w:t xml:space="preserve"> are not generalizing from a sample to a population here.)</w:t>
      </w:r>
    </w:p>
    <w:p w14:paraId="332AFF7B" w14:textId="77777777" w:rsidR="00F54E17" w:rsidRDefault="00000000">
      <w:pPr>
        <w:spacing w:before="240" w:after="240"/>
        <w:ind w:left="720"/>
      </w:pPr>
      <w:r>
        <w:t xml:space="preserve"> </w:t>
      </w:r>
    </w:p>
    <w:p w14:paraId="1397DFE9" w14:textId="77777777" w:rsidR="00F54E17" w:rsidRDefault="00000000">
      <w:pPr>
        <w:spacing w:before="240" w:after="240"/>
        <w:ind w:left="1080"/>
      </w:pPr>
      <w:r>
        <w:t xml:space="preserve"> </w:t>
      </w:r>
    </w:p>
    <w:p w14:paraId="7F41A0FC" w14:textId="77777777" w:rsidR="003E3550" w:rsidRDefault="003E3550">
      <w:pPr>
        <w:spacing w:before="240" w:after="240"/>
        <w:ind w:left="1080"/>
      </w:pPr>
    </w:p>
    <w:p w14:paraId="452737FE" w14:textId="77777777" w:rsidR="003E3550" w:rsidRDefault="003E3550">
      <w:pPr>
        <w:spacing w:before="240" w:after="240"/>
        <w:ind w:left="1080"/>
      </w:pPr>
    </w:p>
    <w:p w14:paraId="4475B966" w14:textId="77777777" w:rsidR="00F54E17" w:rsidRDefault="00000000">
      <w:pPr>
        <w:spacing w:before="240" w:after="240"/>
      </w:pPr>
      <w:r>
        <w:t xml:space="preserve"> </w:t>
      </w:r>
    </w:p>
    <w:p w14:paraId="73564A07" w14:textId="77777777" w:rsidR="00F54E17" w:rsidRDefault="00000000">
      <w:pPr>
        <w:spacing w:before="240" w:after="240"/>
        <w:ind w:left="1080"/>
      </w:pPr>
      <w:r>
        <w:t>d.</w:t>
      </w:r>
      <w:r>
        <w:rPr>
          <w:sz w:val="14"/>
          <w:szCs w:val="14"/>
        </w:rPr>
        <w:t xml:space="preserve">       </w:t>
      </w:r>
      <w:r>
        <w:t>By hand, compute a 95% confidence interval for the difference in proportions of successes. Show all your work.</w:t>
      </w:r>
    </w:p>
    <w:p w14:paraId="5062F5CA" w14:textId="77777777" w:rsidR="00F54E17" w:rsidRDefault="00000000">
      <w:pPr>
        <w:spacing w:before="240" w:after="240"/>
        <w:ind w:left="720"/>
      </w:pPr>
      <w:r>
        <w:t xml:space="preserve"> </w:t>
      </w:r>
    </w:p>
    <w:p w14:paraId="7F7C1AF9" w14:textId="77777777" w:rsidR="00F54E17" w:rsidRDefault="00000000">
      <w:pPr>
        <w:spacing w:before="240" w:after="240"/>
        <w:ind w:left="720"/>
      </w:pPr>
      <w:r>
        <w:t xml:space="preserve"> </w:t>
      </w:r>
    </w:p>
    <w:p w14:paraId="5723C56E" w14:textId="77777777" w:rsidR="00F54E17" w:rsidRDefault="00000000">
      <w:pPr>
        <w:spacing w:before="240" w:after="240"/>
        <w:ind w:left="720"/>
      </w:pPr>
      <w:r>
        <w:t xml:space="preserve"> </w:t>
      </w:r>
    </w:p>
    <w:p w14:paraId="5146A867" w14:textId="7177E697" w:rsidR="00F54E17" w:rsidRDefault="00000000" w:rsidP="003E3550">
      <w:pPr>
        <w:spacing w:before="240" w:after="240"/>
        <w:ind w:left="720"/>
      </w:pPr>
      <w:r>
        <w:t xml:space="preserve"> </w:t>
      </w:r>
    </w:p>
    <w:p w14:paraId="2DBF2C79" w14:textId="70682070" w:rsidR="00F54E17" w:rsidRDefault="00F54E17" w:rsidP="003E3550">
      <w:pPr>
        <w:spacing w:before="240" w:after="240"/>
      </w:pPr>
    </w:p>
    <w:p w14:paraId="1A19D76E" w14:textId="77777777" w:rsidR="00F54E17" w:rsidRDefault="00000000">
      <w:pPr>
        <w:spacing w:before="240" w:after="240"/>
        <w:ind w:left="720"/>
      </w:pPr>
      <w:r>
        <w:t xml:space="preserve"> </w:t>
      </w:r>
    </w:p>
    <w:p w14:paraId="6C6A56A6" w14:textId="77777777" w:rsidR="00F54E17" w:rsidRDefault="00000000">
      <w:pPr>
        <w:spacing w:before="240" w:after="240"/>
        <w:ind w:left="1080"/>
      </w:pPr>
      <w:r>
        <w:t>e.</w:t>
      </w:r>
      <w:r>
        <w:rPr>
          <w:sz w:val="14"/>
          <w:szCs w:val="14"/>
        </w:rPr>
        <w:t xml:space="preserve">        </w:t>
      </w:r>
      <w:r>
        <w:t>Write a sentence that interprets the confidence interval in context.</w:t>
      </w:r>
    </w:p>
    <w:p w14:paraId="6EF608A4" w14:textId="19AFA764" w:rsidR="00F54E17" w:rsidRDefault="00000000" w:rsidP="003E3550">
      <w:pPr>
        <w:spacing w:before="240" w:after="240"/>
      </w:pPr>
      <w:r>
        <w:t xml:space="preserve"> </w:t>
      </w:r>
    </w:p>
    <w:p w14:paraId="6FB67DBA" w14:textId="77777777" w:rsidR="00F54E17" w:rsidRDefault="00F54E17"/>
    <w:sectPr w:rsidR="00F54E17" w:rsidSect="003E3550">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17"/>
    <w:rsid w:val="003E3550"/>
    <w:rsid w:val="00667ACB"/>
    <w:rsid w:val="00F54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6EAA"/>
  <w15:docId w15:val="{4FBAA739-5C05-EC4E-8D5C-89DF776E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550"/>
  </w:style>
  <w:style w:type="paragraph" w:styleId="Heading1">
    <w:name w:val="heading 1"/>
    <w:basedOn w:val="Normal"/>
    <w:next w:val="Normal"/>
    <w:link w:val="Heading1Char"/>
    <w:uiPriority w:val="9"/>
    <w:qFormat/>
    <w:rsid w:val="003E35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35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355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355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355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355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355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355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355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35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3550"/>
    <w:pPr>
      <w:numPr>
        <w:ilvl w:val="1"/>
      </w:numPr>
    </w:pPr>
    <w:rPr>
      <w:rFonts w:asciiTheme="majorHAnsi" w:eastAsiaTheme="majorEastAsia" w:hAnsiTheme="majorHAnsi" w:cstheme="majorBidi"/>
      <w:i/>
      <w:iCs/>
      <w:color w:val="4F81BD" w:themeColor="accent1"/>
      <w:spacing w:val="15"/>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3E355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355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E355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E355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E355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E355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E35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355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E35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3550"/>
    <w:pPr>
      <w:spacing w:line="240" w:lineRule="auto"/>
    </w:pPr>
    <w:rPr>
      <w:b/>
      <w:bCs/>
      <w:color w:val="4F81BD" w:themeColor="accent1"/>
      <w:sz w:val="18"/>
      <w:szCs w:val="18"/>
    </w:rPr>
  </w:style>
  <w:style w:type="character" w:customStyle="1" w:styleId="TitleChar">
    <w:name w:val="Title Char"/>
    <w:basedOn w:val="DefaultParagraphFont"/>
    <w:link w:val="Title"/>
    <w:uiPriority w:val="10"/>
    <w:rsid w:val="003E355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3E355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3550"/>
    <w:rPr>
      <w:b/>
      <w:bCs/>
    </w:rPr>
  </w:style>
  <w:style w:type="character" w:styleId="Emphasis">
    <w:name w:val="Emphasis"/>
    <w:basedOn w:val="DefaultParagraphFont"/>
    <w:uiPriority w:val="20"/>
    <w:qFormat/>
    <w:rsid w:val="003E3550"/>
    <w:rPr>
      <w:i/>
      <w:iCs/>
    </w:rPr>
  </w:style>
  <w:style w:type="paragraph" w:styleId="NoSpacing">
    <w:name w:val="No Spacing"/>
    <w:uiPriority w:val="1"/>
    <w:qFormat/>
    <w:rsid w:val="003E3550"/>
    <w:pPr>
      <w:spacing w:after="0" w:line="240" w:lineRule="auto"/>
    </w:pPr>
  </w:style>
  <w:style w:type="paragraph" w:styleId="ListParagraph">
    <w:name w:val="List Paragraph"/>
    <w:basedOn w:val="Normal"/>
    <w:uiPriority w:val="34"/>
    <w:qFormat/>
    <w:rsid w:val="003E3550"/>
    <w:pPr>
      <w:ind w:left="720"/>
      <w:contextualSpacing/>
    </w:pPr>
  </w:style>
  <w:style w:type="paragraph" w:styleId="Quote">
    <w:name w:val="Quote"/>
    <w:basedOn w:val="Normal"/>
    <w:next w:val="Normal"/>
    <w:link w:val="QuoteChar"/>
    <w:uiPriority w:val="29"/>
    <w:qFormat/>
    <w:rsid w:val="003E3550"/>
    <w:rPr>
      <w:i/>
      <w:iCs/>
      <w:color w:val="000000" w:themeColor="text1"/>
    </w:rPr>
  </w:style>
  <w:style w:type="character" w:customStyle="1" w:styleId="QuoteChar">
    <w:name w:val="Quote Char"/>
    <w:basedOn w:val="DefaultParagraphFont"/>
    <w:link w:val="Quote"/>
    <w:uiPriority w:val="29"/>
    <w:rsid w:val="003E3550"/>
    <w:rPr>
      <w:i/>
      <w:iCs/>
      <w:color w:val="000000" w:themeColor="text1"/>
    </w:rPr>
  </w:style>
  <w:style w:type="paragraph" w:styleId="IntenseQuote">
    <w:name w:val="Intense Quote"/>
    <w:basedOn w:val="Normal"/>
    <w:next w:val="Normal"/>
    <w:link w:val="IntenseQuoteChar"/>
    <w:uiPriority w:val="30"/>
    <w:qFormat/>
    <w:rsid w:val="003E355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3550"/>
    <w:rPr>
      <w:b/>
      <w:bCs/>
      <w:i/>
      <w:iCs/>
      <w:color w:val="4F81BD" w:themeColor="accent1"/>
    </w:rPr>
  </w:style>
  <w:style w:type="character" w:styleId="SubtleEmphasis">
    <w:name w:val="Subtle Emphasis"/>
    <w:basedOn w:val="DefaultParagraphFont"/>
    <w:uiPriority w:val="19"/>
    <w:qFormat/>
    <w:rsid w:val="003E3550"/>
    <w:rPr>
      <w:i/>
      <w:iCs/>
      <w:color w:val="808080" w:themeColor="text1" w:themeTint="7F"/>
    </w:rPr>
  </w:style>
  <w:style w:type="character" w:styleId="IntenseEmphasis">
    <w:name w:val="Intense Emphasis"/>
    <w:basedOn w:val="DefaultParagraphFont"/>
    <w:uiPriority w:val="21"/>
    <w:qFormat/>
    <w:rsid w:val="003E3550"/>
    <w:rPr>
      <w:b/>
      <w:bCs/>
      <w:i/>
      <w:iCs/>
      <w:color w:val="4F81BD" w:themeColor="accent1"/>
    </w:rPr>
  </w:style>
  <w:style w:type="character" w:styleId="SubtleReference">
    <w:name w:val="Subtle Reference"/>
    <w:basedOn w:val="DefaultParagraphFont"/>
    <w:uiPriority w:val="31"/>
    <w:qFormat/>
    <w:rsid w:val="003E3550"/>
    <w:rPr>
      <w:smallCaps/>
      <w:color w:val="C0504D" w:themeColor="accent2"/>
      <w:u w:val="single"/>
    </w:rPr>
  </w:style>
  <w:style w:type="character" w:styleId="IntenseReference">
    <w:name w:val="Intense Reference"/>
    <w:basedOn w:val="DefaultParagraphFont"/>
    <w:uiPriority w:val="32"/>
    <w:qFormat/>
    <w:rsid w:val="003E3550"/>
    <w:rPr>
      <w:b/>
      <w:bCs/>
      <w:smallCaps/>
      <w:color w:val="C0504D" w:themeColor="accent2"/>
      <w:spacing w:val="5"/>
      <w:u w:val="single"/>
    </w:rPr>
  </w:style>
  <w:style w:type="character" w:styleId="BookTitle">
    <w:name w:val="Book Title"/>
    <w:basedOn w:val="DefaultParagraphFont"/>
    <w:uiPriority w:val="33"/>
    <w:qFormat/>
    <w:rsid w:val="003E3550"/>
    <w:rPr>
      <w:b/>
      <w:bCs/>
      <w:smallCaps/>
      <w:spacing w:val="5"/>
    </w:rPr>
  </w:style>
  <w:style w:type="paragraph" w:styleId="TOCHeading">
    <w:name w:val="TOC Heading"/>
    <w:basedOn w:val="Heading1"/>
    <w:next w:val="Normal"/>
    <w:uiPriority w:val="39"/>
    <w:semiHidden/>
    <w:unhideWhenUsed/>
    <w:qFormat/>
    <w:rsid w:val="003E355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Malec, Sara</cp:lastModifiedBy>
  <cp:revision>2</cp:revision>
  <dcterms:created xsi:type="dcterms:W3CDTF">2025-05-02T13:37:00Z</dcterms:created>
  <dcterms:modified xsi:type="dcterms:W3CDTF">2025-05-02T13:37:00Z</dcterms:modified>
</cp:coreProperties>
</file>