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ED79C" w14:textId="34B7CAED" w:rsidR="00654426" w:rsidRDefault="00802CCE">
      <w:r>
        <w:t>Topline conclusions:</w:t>
      </w:r>
    </w:p>
    <w:p w14:paraId="4E9FE894" w14:textId="67AA66FB" w:rsidR="00BC65FE" w:rsidRDefault="00654426">
      <w:r>
        <w:t xml:space="preserve">The 1999 NIDA cocaine study, as a primary outcome of measurement, assessed days used in the past 30, measured at months 1-6 post treatment, as well as follow up at 9 and 12 months. My data analysis here uses only baseline and the first 6 months of treatment. </w:t>
      </w:r>
      <w:r w:rsidR="003358C9">
        <w:t xml:space="preserve">They compared group drug counseling alone (GDC) to group drug counseling plus one of : individual drug counseling (IDC), cognitive therapy (CT) and supportive expression (SE). </w:t>
      </w:r>
    </w:p>
    <w:p w14:paraId="59D74BC5" w14:textId="294A6DF3" w:rsidR="002F2BB2" w:rsidRDefault="003358C9">
      <w:r w:rsidRPr="002F2BB2">
        <w:rPr>
          <w:noProof/>
        </w:rPr>
        <w:drawing>
          <wp:inline distT="0" distB="0" distL="0" distR="0" wp14:anchorId="2768D22E" wp14:editId="7B53EC73">
            <wp:extent cx="3075806" cy="1900362"/>
            <wp:effectExtent l="0" t="0" r="0" b="5080"/>
            <wp:docPr id="87707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9332" name=""/>
                    <pic:cNvPicPr/>
                  </pic:nvPicPr>
                  <pic:blipFill>
                    <a:blip r:embed="rId5"/>
                    <a:stretch>
                      <a:fillRect/>
                    </a:stretch>
                  </pic:blipFill>
                  <pic:spPr>
                    <a:xfrm>
                      <a:off x="0" y="0"/>
                      <a:ext cx="3096085" cy="1912891"/>
                    </a:xfrm>
                    <a:prstGeom prst="rect">
                      <a:avLst/>
                    </a:prstGeom>
                  </pic:spPr>
                </pic:pic>
              </a:graphicData>
            </a:graphic>
          </wp:inline>
        </w:drawing>
      </w:r>
    </w:p>
    <w:p w14:paraId="0D4C5082" w14:textId="616C89BB" w:rsidR="00BC65FE" w:rsidRDefault="007F687C">
      <w:r>
        <w:t xml:space="preserve"> </w:t>
      </w:r>
      <w:r w:rsidR="00A2089E" w:rsidRPr="003358C9">
        <w:rPr>
          <w:noProof/>
          <w:color w:val="FFFFFF" w:themeColor="background1"/>
        </w:rPr>
        <w:object w:dxaOrig="10760" w:dyaOrig="980" w14:anchorId="08171E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506.5pt;height:48.85pt;mso-width-percent:0;mso-height-percent:0;mso-width-percent:0;mso-height-percent:0" o:ole="">
            <v:imagedata r:id="rId6" o:title=""/>
          </v:shape>
          <o:OLEObject Type="Embed" ProgID="Excel.Sheet.12" ShapeID="_x0000_i1026" DrawAspect="Content" ObjectID="_1841122867" r:id="rId7"/>
        </w:object>
      </w:r>
    </w:p>
    <w:p w14:paraId="38AEB76A" w14:textId="72959F6E" w:rsidR="00B50B5A" w:rsidRDefault="003358C9">
      <w:r>
        <w:t xml:space="preserve">For all following analyses, I used piecewise time contrasts, as indicated above. This decision was data driven, by inspection of the mean profile plot. It is obvious that reported monthly use fell dramatically after intake (month 0). Therefore, I had two research questions: 1. Did the magnitude of the decline after any treatment differ by the type of treatment? 2. Was there any decline at all with continuing treatment past one month? </w:t>
      </w:r>
      <w:r w:rsidR="00B50B5A">
        <w:t>Absent subject matter expertise</w:t>
      </w:r>
      <w:r w:rsidR="00493198">
        <w:t xml:space="preserve"> to distinguish confounders, mediators, and colliders, I used no covariates, using only time, treatment, and site as fixed effects. </w:t>
      </w:r>
    </w:p>
    <w:tbl>
      <w:tblPr>
        <w:tblW w:w="6040" w:type="dxa"/>
        <w:tblLook w:val="04A0" w:firstRow="1" w:lastRow="0" w:firstColumn="1" w:lastColumn="0" w:noHBand="0" w:noVBand="1"/>
      </w:tblPr>
      <w:tblGrid>
        <w:gridCol w:w="1300"/>
        <w:gridCol w:w="2205"/>
        <w:gridCol w:w="1235"/>
        <w:gridCol w:w="1300"/>
      </w:tblGrid>
      <w:tr w:rsidR="00397C73" w:rsidRPr="00397C73" w14:paraId="53097FC5" w14:textId="77777777" w:rsidTr="00397C73">
        <w:trPr>
          <w:trHeight w:val="320"/>
        </w:trPr>
        <w:tc>
          <w:tcPr>
            <w:tcW w:w="1300" w:type="dxa"/>
            <w:tcBorders>
              <w:top w:val="single" w:sz="4" w:space="0" w:color="auto"/>
              <w:left w:val="single" w:sz="4" w:space="0" w:color="auto"/>
              <w:bottom w:val="single" w:sz="4" w:space="0" w:color="auto"/>
              <w:right w:val="single" w:sz="4" w:space="0" w:color="auto"/>
            </w:tcBorders>
            <w:shd w:val="clear" w:color="000000" w:fill="404040"/>
            <w:noWrap/>
            <w:vAlign w:val="bottom"/>
            <w:hideMark/>
          </w:tcPr>
          <w:p w14:paraId="5A50AAD8" w14:textId="77777777" w:rsidR="00397C73" w:rsidRPr="00397C73" w:rsidRDefault="00397C73" w:rsidP="00397C73">
            <w:pPr>
              <w:spacing w:after="0" w:line="240" w:lineRule="auto"/>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 </w:t>
            </w:r>
          </w:p>
        </w:tc>
        <w:tc>
          <w:tcPr>
            <w:tcW w:w="2205" w:type="dxa"/>
            <w:tcBorders>
              <w:top w:val="single" w:sz="4" w:space="0" w:color="auto"/>
              <w:left w:val="nil"/>
              <w:bottom w:val="single" w:sz="4" w:space="0" w:color="auto"/>
              <w:right w:val="single" w:sz="4" w:space="0" w:color="auto"/>
            </w:tcBorders>
            <w:shd w:val="clear" w:color="000000" w:fill="404040"/>
            <w:noWrap/>
            <w:vAlign w:val="bottom"/>
            <w:hideMark/>
          </w:tcPr>
          <w:p w14:paraId="63B7094B" w14:textId="35EF9158" w:rsidR="00397C73" w:rsidRPr="00397C73" w:rsidRDefault="00397C73" w:rsidP="00397C73">
            <w:pPr>
              <w:spacing w:after="0" w:line="240" w:lineRule="auto"/>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Trend (Latent Scale)</w:t>
            </w:r>
          </w:p>
        </w:tc>
        <w:tc>
          <w:tcPr>
            <w:tcW w:w="1235" w:type="dxa"/>
            <w:tcBorders>
              <w:top w:val="single" w:sz="4" w:space="0" w:color="auto"/>
              <w:left w:val="nil"/>
              <w:bottom w:val="single" w:sz="4" w:space="0" w:color="auto"/>
              <w:right w:val="single" w:sz="4" w:space="0" w:color="auto"/>
            </w:tcBorders>
            <w:shd w:val="clear" w:color="000000" w:fill="404040"/>
            <w:noWrap/>
            <w:vAlign w:val="bottom"/>
            <w:hideMark/>
          </w:tcPr>
          <w:p w14:paraId="7FEC6081" w14:textId="7B519090" w:rsidR="00397C73" w:rsidRPr="00397C73" w:rsidRDefault="00397C73" w:rsidP="00397C73">
            <w:pPr>
              <w:spacing w:after="0" w:line="240" w:lineRule="auto"/>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 </w:t>
            </w:r>
          </w:p>
        </w:tc>
        <w:tc>
          <w:tcPr>
            <w:tcW w:w="1300" w:type="dxa"/>
            <w:tcBorders>
              <w:top w:val="single" w:sz="4" w:space="0" w:color="auto"/>
              <w:left w:val="nil"/>
              <w:bottom w:val="single" w:sz="4" w:space="0" w:color="auto"/>
              <w:right w:val="single" w:sz="4" w:space="0" w:color="auto"/>
            </w:tcBorders>
            <w:shd w:val="clear" w:color="000000" w:fill="404040"/>
            <w:noWrap/>
            <w:vAlign w:val="bottom"/>
            <w:hideMark/>
          </w:tcPr>
          <w:p w14:paraId="2A3F2209" w14:textId="77777777" w:rsidR="00397C73" w:rsidRPr="00397C73" w:rsidRDefault="00397C73" w:rsidP="00397C73">
            <w:pPr>
              <w:spacing w:after="0" w:line="240" w:lineRule="auto"/>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 </w:t>
            </w:r>
          </w:p>
        </w:tc>
      </w:tr>
      <w:tr w:rsidR="00397C73" w:rsidRPr="00397C73" w14:paraId="6EC1A294" w14:textId="77777777" w:rsidTr="00397C73">
        <w:trPr>
          <w:trHeight w:val="320"/>
        </w:trPr>
        <w:tc>
          <w:tcPr>
            <w:tcW w:w="1300" w:type="dxa"/>
            <w:tcBorders>
              <w:top w:val="nil"/>
              <w:left w:val="single" w:sz="4" w:space="0" w:color="auto"/>
              <w:bottom w:val="single" w:sz="4" w:space="0" w:color="auto"/>
              <w:right w:val="single" w:sz="4" w:space="0" w:color="auto"/>
            </w:tcBorders>
            <w:shd w:val="clear" w:color="000000" w:fill="404040"/>
            <w:noWrap/>
            <w:vAlign w:val="bottom"/>
            <w:hideMark/>
          </w:tcPr>
          <w:p w14:paraId="2E7793DD" w14:textId="77777777" w:rsidR="00397C73" w:rsidRPr="00397C73" w:rsidRDefault="00397C73" w:rsidP="00397C73">
            <w:pPr>
              <w:spacing w:after="0" w:line="240" w:lineRule="auto"/>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TXNAME</w:t>
            </w:r>
          </w:p>
        </w:tc>
        <w:tc>
          <w:tcPr>
            <w:tcW w:w="2205" w:type="dxa"/>
            <w:tcBorders>
              <w:top w:val="nil"/>
              <w:left w:val="nil"/>
              <w:bottom w:val="single" w:sz="4" w:space="0" w:color="auto"/>
              <w:right w:val="single" w:sz="4" w:space="0" w:color="auto"/>
            </w:tcBorders>
            <w:shd w:val="clear" w:color="000000" w:fill="404040"/>
            <w:noWrap/>
            <w:vAlign w:val="bottom"/>
            <w:hideMark/>
          </w:tcPr>
          <w:p w14:paraId="3C706352" w14:textId="77777777" w:rsidR="00397C73" w:rsidRPr="00397C73" w:rsidRDefault="00397C73" w:rsidP="00397C73">
            <w:pPr>
              <w:spacing w:after="0" w:line="240" w:lineRule="auto"/>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Beta binomial</w:t>
            </w:r>
          </w:p>
        </w:tc>
        <w:tc>
          <w:tcPr>
            <w:tcW w:w="1235" w:type="dxa"/>
            <w:tcBorders>
              <w:top w:val="nil"/>
              <w:left w:val="nil"/>
              <w:bottom w:val="single" w:sz="4" w:space="0" w:color="auto"/>
              <w:right w:val="single" w:sz="4" w:space="0" w:color="auto"/>
            </w:tcBorders>
            <w:shd w:val="clear" w:color="000000" w:fill="404040"/>
            <w:noWrap/>
            <w:vAlign w:val="bottom"/>
            <w:hideMark/>
          </w:tcPr>
          <w:p w14:paraId="3E9F190E" w14:textId="77777777" w:rsidR="00397C73" w:rsidRPr="00397C73" w:rsidRDefault="00397C73" w:rsidP="00397C73">
            <w:pPr>
              <w:spacing w:after="0" w:line="240" w:lineRule="auto"/>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 xml:space="preserve">Beta </w:t>
            </w:r>
          </w:p>
        </w:tc>
        <w:tc>
          <w:tcPr>
            <w:tcW w:w="1300" w:type="dxa"/>
            <w:tcBorders>
              <w:top w:val="nil"/>
              <w:left w:val="nil"/>
              <w:bottom w:val="single" w:sz="4" w:space="0" w:color="auto"/>
              <w:right w:val="single" w:sz="4" w:space="0" w:color="auto"/>
            </w:tcBorders>
            <w:shd w:val="clear" w:color="000000" w:fill="404040"/>
            <w:noWrap/>
            <w:vAlign w:val="bottom"/>
            <w:hideMark/>
          </w:tcPr>
          <w:p w14:paraId="789106DF" w14:textId="77777777" w:rsidR="00397C73" w:rsidRPr="00397C73" w:rsidRDefault="00397C73" w:rsidP="00397C73">
            <w:pPr>
              <w:spacing w:after="0" w:line="240" w:lineRule="auto"/>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LMM</w:t>
            </w:r>
          </w:p>
        </w:tc>
      </w:tr>
      <w:tr w:rsidR="00397C73" w:rsidRPr="00397C73" w14:paraId="0AB82C6F" w14:textId="77777777" w:rsidTr="00397C73">
        <w:trPr>
          <w:trHeight w:val="320"/>
        </w:trPr>
        <w:tc>
          <w:tcPr>
            <w:tcW w:w="1300" w:type="dxa"/>
            <w:tcBorders>
              <w:top w:val="nil"/>
              <w:left w:val="single" w:sz="4" w:space="0" w:color="auto"/>
              <w:bottom w:val="single" w:sz="4" w:space="0" w:color="auto"/>
              <w:right w:val="single" w:sz="4" w:space="0" w:color="auto"/>
            </w:tcBorders>
            <w:shd w:val="clear" w:color="000000" w:fill="404040"/>
            <w:noWrap/>
            <w:vAlign w:val="bottom"/>
            <w:hideMark/>
          </w:tcPr>
          <w:p w14:paraId="1586F47D" w14:textId="77777777" w:rsidR="00397C73" w:rsidRPr="00397C73" w:rsidRDefault="00397C73" w:rsidP="00397C73">
            <w:pPr>
              <w:spacing w:after="0" w:line="240" w:lineRule="auto"/>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CT</w:t>
            </w:r>
          </w:p>
        </w:tc>
        <w:tc>
          <w:tcPr>
            <w:tcW w:w="2205" w:type="dxa"/>
            <w:tcBorders>
              <w:top w:val="nil"/>
              <w:left w:val="nil"/>
              <w:bottom w:val="single" w:sz="4" w:space="0" w:color="auto"/>
              <w:right w:val="single" w:sz="4" w:space="0" w:color="auto"/>
            </w:tcBorders>
            <w:shd w:val="clear" w:color="000000" w:fill="404040"/>
            <w:noWrap/>
            <w:vAlign w:val="bottom"/>
            <w:hideMark/>
          </w:tcPr>
          <w:p w14:paraId="755E2876" w14:textId="77777777" w:rsidR="00397C73" w:rsidRPr="00397C73" w:rsidRDefault="00397C73" w:rsidP="00397C73">
            <w:pPr>
              <w:spacing w:after="0" w:line="240" w:lineRule="auto"/>
              <w:jc w:val="right"/>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-1.74</w:t>
            </w:r>
          </w:p>
        </w:tc>
        <w:tc>
          <w:tcPr>
            <w:tcW w:w="1235" w:type="dxa"/>
            <w:tcBorders>
              <w:top w:val="nil"/>
              <w:left w:val="nil"/>
              <w:bottom w:val="single" w:sz="4" w:space="0" w:color="auto"/>
              <w:right w:val="single" w:sz="4" w:space="0" w:color="auto"/>
            </w:tcBorders>
            <w:shd w:val="clear" w:color="000000" w:fill="404040"/>
            <w:noWrap/>
            <w:vAlign w:val="bottom"/>
            <w:hideMark/>
          </w:tcPr>
          <w:p w14:paraId="38433AE4" w14:textId="77777777" w:rsidR="00397C73" w:rsidRPr="00397C73" w:rsidRDefault="00397C73" w:rsidP="00397C73">
            <w:pPr>
              <w:spacing w:after="0" w:line="240" w:lineRule="auto"/>
              <w:jc w:val="right"/>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-1.37</w:t>
            </w:r>
          </w:p>
        </w:tc>
        <w:tc>
          <w:tcPr>
            <w:tcW w:w="1300" w:type="dxa"/>
            <w:tcBorders>
              <w:top w:val="nil"/>
              <w:left w:val="nil"/>
              <w:bottom w:val="single" w:sz="4" w:space="0" w:color="auto"/>
              <w:right w:val="single" w:sz="4" w:space="0" w:color="auto"/>
            </w:tcBorders>
            <w:shd w:val="clear" w:color="000000" w:fill="404040"/>
            <w:noWrap/>
            <w:vAlign w:val="bottom"/>
            <w:hideMark/>
          </w:tcPr>
          <w:p w14:paraId="0637189E" w14:textId="77777777" w:rsidR="00397C73" w:rsidRPr="00397C73" w:rsidRDefault="00397C73" w:rsidP="00397C73">
            <w:pPr>
              <w:spacing w:after="0" w:line="240" w:lineRule="auto"/>
              <w:jc w:val="right"/>
              <w:rPr>
                <w:rFonts w:ascii="Menlo-Regular" w:eastAsia="Times New Roman" w:hAnsi="Menlo-Regular" w:cs="Menlo-Regular"/>
                <w:color w:val="ADADAD"/>
                <w:kern w:val="0"/>
                <w14:ligatures w14:val="none"/>
              </w:rPr>
            </w:pPr>
            <w:r w:rsidRPr="00397C73">
              <w:rPr>
                <w:rFonts w:ascii="Menlo-Regular" w:eastAsia="Times New Roman" w:hAnsi="Menlo-Regular" w:cs="Menlo-Regular"/>
                <w:color w:val="ADADAD"/>
                <w:kern w:val="0"/>
                <w14:ligatures w14:val="none"/>
              </w:rPr>
              <w:t>-0.987</w:t>
            </w:r>
          </w:p>
        </w:tc>
      </w:tr>
      <w:tr w:rsidR="00397C73" w:rsidRPr="00397C73" w14:paraId="1491B2F7" w14:textId="77777777" w:rsidTr="00397C73">
        <w:trPr>
          <w:trHeight w:val="320"/>
        </w:trPr>
        <w:tc>
          <w:tcPr>
            <w:tcW w:w="1300" w:type="dxa"/>
            <w:tcBorders>
              <w:top w:val="nil"/>
              <w:left w:val="single" w:sz="4" w:space="0" w:color="auto"/>
              <w:bottom w:val="single" w:sz="4" w:space="0" w:color="auto"/>
              <w:right w:val="single" w:sz="4" w:space="0" w:color="auto"/>
            </w:tcBorders>
            <w:shd w:val="clear" w:color="000000" w:fill="404040"/>
            <w:noWrap/>
            <w:vAlign w:val="bottom"/>
            <w:hideMark/>
          </w:tcPr>
          <w:p w14:paraId="568D594B" w14:textId="77777777" w:rsidR="00397C73" w:rsidRPr="00397C73" w:rsidRDefault="00397C73" w:rsidP="00397C73">
            <w:pPr>
              <w:spacing w:after="0" w:line="240" w:lineRule="auto"/>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GDC</w:t>
            </w:r>
          </w:p>
        </w:tc>
        <w:tc>
          <w:tcPr>
            <w:tcW w:w="2205" w:type="dxa"/>
            <w:tcBorders>
              <w:top w:val="nil"/>
              <w:left w:val="nil"/>
              <w:bottom w:val="single" w:sz="4" w:space="0" w:color="auto"/>
              <w:right w:val="single" w:sz="4" w:space="0" w:color="auto"/>
            </w:tcBorders>
            <w:shd w:val="clear" w:color="000000" w:fill="404040"/>
            <w:noWrap/>
            <w:vAlign w:val="bottom"/>
            <w:hideMark/>
          </w:tcPr>
          <w:p w14:paraId="07A76A37" w14:textId="77777777" w:rsidR="00397C73" w:rsidRPr="00397C73" w:rsidRDefault="00397C73" w:rsidP="00397C73">
            <w:pPr>
              <w:spacing w:after="0" w:line="240" w:lineRule="auto"/>
              <w:jc w:val="right"/>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-2.17</w:t>
            </w:r>
          </w:p>
        </w:tc>
        <w:tc>
          <w:tcPr>
            <w:tcW w:w="1235" w:type="dxa"/>
            <w:tcBorders>
              <w:top w:val="nil"/>
              <w:left w:val="nil"/>
              <w:bottom w:val="single" w:sz="4" w:space="0" w:color="auto"/>
              <w:right w:val="single" w:sz="4" w:space="0" w:color="auto"/>
            </w:tcBorders>
            <w:shd w:val="clear" w:color="000000" w:fill="404040"/>
            <w:noWrap/>
            <w:vAlign w:val="bottom"/>
            <w:hideMark/>
          </w:tcPr>
          <w:p w14:paraId="3CA27CE6" w14:textId="77777777" w:rsidR="00397C73" w:rsidRPr="00397C73" w:rsidRDefault="00397C73" w:rsidP="00397C73">
            <w:pPr>
              <w:spacing w:after="0" w:line="240" w:lineRule="auto"/>
              <w:jc w:val="right"/>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-1.67</w:t>
            </w:r>
          </w:p>
        </w:tc>
        <w:tc>
          <w:tcPr>
            <w:tcW w:w="1300" w:type="dxa"/>
            <w:tcBorders>
              <w:top w:val="nil"/>
              <w:left w:val="nil"/>
              <w:bottom w:val="single" w:sz="4" w:space="0" w:color="auto"/>
              <w:right w:val="single" w:sz="4" w:space="0" w:color="auto"/>
            </w:tcBorders>
            <w:shd w:val="clear" w:color="000000" w:fill="404040"/>
            <w:noWrap/>
            <w:vAlign w:val="bottom"/>
            <w:hideMark/>
          </w:tcPr>
          <w:p w14:paraId="409E50E2" w14:textId="77777777" w:rsidR="00397C73" w:rsidRPr="00397C73" w:rsidRDefault="00397C73" w:rsidP="00397C73">
            <w:pPr>
              <w:spacing w:after="0" w:line="240" w:lineRule="auto"/>
              <w:jc w:val="right"/>
              <w:rPr>
                <w:rFonts w:ascii="Menlo-Regular" w:eastAsia="Times New Roman" w:hAnsi="Menlo-Regular" w:cs="Menlo-Regular"/>
                <w:color w:val="ADADAD"/>
                <w:kern w:val="0"/>
                <w14:ligatures w14:val="none"/>
              </w:rPr>
            </w:pPr>
            <w:r w:rsidRPr="00397C73">
              <w:rPr>
                <w:rFonts w:ascii="Menlo-Regular" w:eastAsia="Times New Roman" w:hAnsi="Menlo-Regular" w:cs="Menlo-Regular"/>
                <w:color w:val="ADADAD"/>
                <w:kern w:val="0"/>
                <w14:ligatures w14:val="none"/>
              </w:rPr>
              <w:t>-1.235</w:t>
            </w:r>
          </w:p>
        </w:tc>
      </w:tr>
      <w:tr w:rsidR="00397C73" w:rsidRPr="00397C73" w14:paraId="5E1BDD50" w14:textId="77777777" w:rsidTr="00397C73">
        <w:trPr>
          <w:trHeight w:val="320"/>
        </w:trPr>
        <w:tc>
          <w:tcPr>
            <w:tcW w:w="1300" w:type="dxa"/>
            <w:tcBorders>
              <w:top w:val="nil"/>
              <w:left w:val="single" w:sz="4" w:space="0" w:color="auto"/>
              <w:bottom w:val="single" w:sz="4" w:space="0" w:color="auto"/>
              <w:right w:val="single" w:sz="4" w:space="0" w:color="auto"/>
            </w:tcBorders>
            <w:shd w:val="clear" w:color="000000" w:fill="404040"/>
            <w:noWrap/>
            <w:vAlign w:val="bottom"/>
            <w:hideMark/>
          </w:tcPr>
          <w:p w14:paraId="348B5E6F" w14:textId="77777777" w:rsidR="00397C73" w:rsidRPr="00397C73" w:rsidRDefault="00397C73" w:rsidP="00397C73">
            <w:pPr>
              <w:spacing w:after="0" w:line="240" w:lineRule="auto"/>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IDC</w:t>
            </w:r>
          </w:p>
        </w:tc>
        <w:tc>
          <w:tcPr>
            <w:tcW w:w="2205" w:type="dxa"/>
            <w:tcBorders>
              <w:top w:val="nil"/>
              <w:left w:val="nil"/>
              <w:bottom w:val="single" w:sz="4" w:space="0" w:color="auto"/>
              <w:right w:val="single" w:sz="4" w:space="0" w:color="auto"/>
            </w:tcBorders>
            <w:shd w:val="clear" w:color="000000" w:fill="404040"/>
            <w:noWrap/>
            <w:vAlign w:val="bottom"/>
            <w:hideMark/>
          </w:tcPr>
          <w:p w14:paraId="61B2A4B6" w14:textId="77777777" w:rsidR="00397C73" w:rsidRPr="00397C73" w:rsidRDefault="00397C73" w:rsidP="00397C73">
            <w:pPr>
              <w:spacing w:after="0" w:line="240" w:lineRule="auto"/>
              <w:jc w:val="right"/>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-2.36</w:t>
            </w:r>
          </w:p>
        </w:tc>
        <w:tc>
          <w:tcPr>
            <w:tcW w:w="1235" w:type="dxa"/>
            <w:tcBorders>
              <w:top w:val="nil"/>
              <w:left w:val="nil"/>
              <w:bottom w:val="single" w:sz="4" w:space="0" w:color="auto"/>
              <w:right w:val="single" w:sz="4" w:space="0" w:color="auto"/>
            </w:tcBorders>
            <w:shd w:val="clear" w:color="000000" w:fill="404040"/>
            <w:noWrap/>
            <w:vAlign w:val="bottom"/>
            <w:hideMark/>
          </w:tcPr>
          <w:p w14:paraId="1D65B289" w14:textId="77777777" w:rsidR="00397C73" w:rsidRPr="00397C73" w:rsidRDefault="00397C73" w:rsidP="00397C73">
            <w:pPr>
              <w:spacing w:after="0" w:line="240" w:lineRule="auto"/>
              <w:jc w:val="right"/>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-1.78</w:t>
            </w:r>
          </w:p>
        </w:tc>
        <w:tc>
          <w:tcPr>
            <w:tcW w:w="1300" w:type="dxa"/>
            <w:tcBorders>
              <w:top w:val="nil"/>
              <w:left w:val="nil"/>
              <w:bottom w:val="single" w:sz="4" w:space="0" w:color="auto"/>
              <w:right w:val="single" w:sz="4" w:space="0" w:color="auto"/>
            </w:tcBorders>
            <w:shd w:val="clear" w:color="000000" w:fill="404040"/>
            <w:noWrap/>
            <w:vAlign w:val="bottom"/>
            <w:hideMark/>
          </w:tcPr>
          <w:p w14:paraId="617EF222" w14:textId="77777777" w:rsidR="00397C73" w:rsidRPr="00397C73" w:rsidRDefault="00397C73" w:rsidP="00397C73">
            <w:pPr>
              <w:spacing w:after="0" w:line="240" w:lineRule="auto"/>
              <w:jc w:val="right"/>
              <w:rPr>
                <w:rFonts w:ascii="Menlo-Regular" w:eastAsia="Times New Roman" w:hAnsi="Menlo-Regular" w:cs="Menlo-Regular"/>
                <w:color w:val="ADADAD"/>
                <w:kern w:val="0"/>
                <w14:ligatures w14:val="none"/>
              </w:rPr>
            </w:pPr>
            <w:r w:rsidRPr="00397C73">
              <w:rPr>
                <w:rFonts w:ascii="Menlo-Regular" w:eastAsia="Times New Roman" w:hAnsi="Menlo-Regular" w:cs="Menlo-Regular"/>
                <w:color w:val="ADADAD"/>
                <w:kern w:val="0"/>
                <w14:ligatures w14:val="none"/>
              </w:rPr>
              <w:t>-1.3</w:t>
            </w:r>
          </w:p>
        </w:tc>
      </w:tr>
      <w:tr w:rsidR="00397C73" w:rsidRPr="00397C73" w14:paraId="4B2995D6" w14:textId="77777777" w:rsidTr="00397C73">
        <w:trPr>
          <w:trHeight w:val="320"/>
        </w:trPr>
        <w:tc>
          <w:tcPr>
            <w:tcW w:w="1300" w:type="dxa"/>
            <w:tcBorders>
              <w:top w:val="nil"/>
              <w:left w:val="single" w:sz="4" w:space="0" w:color="auto"/>
              <w:bottom w:val="single" w:sz="4" w:space="0" w:color="auto"/>
              <w:right w:val="single" w:sz="4" w:space="0" w:color="auto"/>
            </w:tcBorders>
            <w:shd w:val="clear" w:color="000000" w:fill="404040"/>
            <w:noWrap/>
            <w:vAlign w:val="bottom"/>
            <w:hideMark/>
          </w:tcPr>
          <w:p w14:paraId="6E063388" w14:textId="77777777" w:rsidR="00397C73" w:rsidRPr="00397C73" w:rsidRDefault="00397C73" w:rsidP="00397C73">
            <w:pPr>
              <w:spacing w:after="0" w:line="240" w:lineRule="auto"/>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SE</w:t>
            </w:r>
          </w:p>
        </w:tc>
        <w:tc>
          <w:tcPr>
            <w:tcW w:w="2205" w:type="dxa"/>
            <w:tcBorders>
              <w:top w:val="nil"/>
              <w:left w:val="nil"/>
              <w:bottom w:val="single" w:sz="4" w:space="0" w:color="auto"/>
              <w:right w:val="single" w:sz="4" w:space="0" w:color="auto"/>
            </w:tcBorders>
            <w:shd w:val="clear" w:color="000000" w:fill="404040"/>
            <w:noWrap/>
            <w:vAlign w:val="bottom"/>
            <w:hideMark/>
          </w:tcPr>
          <w:p w14:paraId="7EF3D0B4" w14:textId="77777777" w:rsidR="00397C73" w:rsidRPr="00397C73" w:rsidRDefault="00397C73" w:rsidP="00397C73">
            <w:pPr>
              <w:spacing w:after="0" w:line="240" w:lineRule="auto"/>
              <w:jc w:val="right"/>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-1.83</w:t>
            </w:r>
          </w:p>
        </w:tc>
        <w:tc>
          <w:tcPr>
            <w:tcW w:w="1235" w:type="dxa"/>
            <w:tcBorders>
              <w:top w:val="nil"/>
              <w:left w:val="nil"/>
              <w:bottom w:val="single" w:sz="4" w:space="0" w:color="auto"/>
              <w:right w:val="single" w:sz="4" w:space="0" w:color="auto"/>
            </w:tcBorders>
            <w:shd w:val="clear" w:color="000000" w:fill="404040"/>
            <w:noWrap/>
            <w:vAlign w:val="bottom"/>
            <w:hideMark/>
          </w:tcPr>
          <w:p w14:paraId="6A9A8399" w14:textId="77777777" w:rsidR="00397C73" w:rsidRPr="00397C73" w:rsidRDefault="00397C73" w:rsidP="00397C73">
            <w:pPr>
              <w:spacing w:after="0" w:line="240" w:lineRule="auto"/>
              <w:jc w:val="right"/>
              <w:rPr>
                <w:rFonts w:ascii="Aptos Narrow" w:eastAsia="Times New Roman" w:hAnsi="Aptos Narrow" w:cs="Times New Roman"/>
                <w:color w:val="ADADAD"/>
                <w:kern w:val="0"/>
                <w14:ligatures w14:val="none"/>
              </w:rPr>
            </w:pPr>
            <w:r w:rsidRPr="00397C73">
              <w:rPr>
                <w:rFonts w:ascii="Aptos Narrow" w:eastAsia="Times New Roman" w:hAnsi="Aptos Narrow" w:cs="Times New Roman"/>
                <w:color w:val="ADADAD"/>
                <w:kern w:val="0"/>
                <w14:ligatures w14:val="none"/>
              </w:rPr>
              <w:t>-1.4</w:t>
            </w:r>
          </w:p>
        </w:tc>
        <w:tc>
          <w:tcPr>
            <w:tcW w:w="1300" w:type="dxa"/>
            <w:tcBorders>
              <w:top w:val="nil"/>
              <w:left w:val="nil"/>
              <w:bottom w:val="single" w:sz="4" w:space="0" w:color="auto"/>
              <w:right w:val="single" w:sz="4" w:space="0" w:color="auto"/>
            </w:tcBorders>
            <w:shd w:val="clear" w:color="000000" w:fill="404040"/>
            <w:noWrap/>
            <w:vAlign w:val="bottom"/>
            <w:hideMark/>
          </w:tcPr>
          <w:p w14:paraId="44B76850" w14:textId="77777777" w:rsidR="00397C73" w:rsidRPr="00397C73" w:rsidRDefault="00397C73" w:rsidP="00397C73">
            <w:pPr>
              <w:spacing w:after="0" w:line="240" w:lineRule="auto"/>
              <w:jc w:val="right"/>
              <w:rPr>
                <w:rFonts w:ascii="Menlo-Regular" w:eastAsia="Times New Roman" w:hAnsi="Menlo-Regular" w:cs="Menlo-Regular"/>
                <w:color w:val="ADADAD"/>
                <w:kern w:val="0"/>
                <w14:ligatures w14:val="none"/>
              </w:rPr>
            </w:pPr>
            <w:r w:rsidRPr="00397C73">
              <w:rPr>
                <w:rFonts w:ascii="Menlo-Regular" w:eastAsia="Times New Roman" w:hAnsi="Menlo-Regular" w:cs="Menlo-Regular"/>
                <w:color w:val="ADADAD"/>
                <w:kern w:val="0"/>
                <w14:ligatures w14:val="none"/>
              </w:rPr>
              <w:t>-1.099</w:t>
            </w:r>
          </w:p>
        </w:tc>
      </w:tr>
    </w:tbl>
    <w:p w14:paraId="0CE46312" w14:textId="77777777" w:rsidR="00397C73" w:rsidRDefault="00397C73"/>
    <w:p w14:paraId="51A55A76" w14:textId="77777777" w:rsidR="00397C73" w:rsidRDefault="00397C73"/>
    <w:p w14:paraId="0D05D8D5" w14:textId="5C49177D" w:rsidR="00C85A14" w:rsidRDefault="00C85A14">
      <w:r>
        <w:lastRenderedPageBreak/>
        <w:t xml:space="preserve">All of these models use latent scales for estimates on </w:t>
      </w:r>
      <w:r w:rsidR="00104CCE">
        <w:t xml:space="preserve">these trends over time, that render raw numbers to answer these research questions uninterpretable. </w:t>
      </w:r>
      <w:r w:rsidR="00397C73">
        <w:t>That said, differences within a model can be interpreted</w:t>
      </w:r>
      <w:r w:rsidR="00FF7675">
        <w:t>. All models found significant decreases in drug use after any treatment. All models found IDC to be the best treatment, followed by GDC, SE, with CT being the worst, though still improving. The only significant pairwise contrast across models was that IDC was significantly better than CT at reducing drug use after a single month of therapy</w:t>
      </w:r>
      <w:r w:rsidR="00A9739A">
        <w:t xml:space="preserve"> (</w:t>
      </w:r>
      <w:r w:rsidR="00A36452">
        <w:t xml:space="preserve">95% CI: </w:t>
      </w:r>
      <w:r w:rsidR="00A36452" w:rsidRPr="00A36452">
        <w:t xml:space="preserve">0.0394 </w:t>
      </w:r>
      <w:r w:rsidR="00A36452">
        <w:t>,</w:t>
      </w:r>
      <w:r w:rsidR="00A36452" w:rsidRPr="00A36452">
        <w:t>1.1762</w:t>
      </w:r>
      <w:r w:rsidR="00A36452">
        <w:t>)</w:t>
      </w:r>
    </w:p>
    <w:tbl>
      <w:tblPr>
        <w:tblW w:w="6295" w:type="dxa"/>
        <w:tblLook w:val="04A0" w:firstRow="1" w:lastRow="0" w:firstColumn="1" w:lastColumn="0" w:noHBand="0" w:noVBand="1"/>
      </w:tblPr>
      <w:tblGrid>
        <w:gridCol w:w="2425"/>
        <w:gridCol w:w="1080"/>
        <w:gridCol w:w="1170"/>
        <w:gridCol w:w="1620"/>
      </w:tblGrid>
      <w:tr w:rsidR="000B0799" w:rsidRPr="000B0799" w14:paraId="4B5628F0" w14:textId="77777777" w:rsidTr="000B0799">
        <w:trPr>
          <w:trHeight w:val="611"/>
        </w:trPr>
        <w:tc>
          <w:tcPr>
            <w:tcW w:w="2425" w:type="dxa"/>
            <w:tcBorders>
              <w:top w:val="single" w:sz="4" w:space="0" w:color="auto"/>
              <w:left w:val="single" w:sz="4" w:space="0" w:color="auto"/>
              <w:bottom w:val="single" w:sz="4" w:space="0" w:color="auto"/>
              <w:right w:val="single" w:sz="4" w:space="0" w:color="auto"/>
            </w:tcBorders>
            <w:shd w:val="clear" w:color="000000" w:fill="404040"/>
            <w:noWrap/>
            <w:vAlign w:val="bottom"/>
            <w:hideMark/>
          </w:tcPr>
          <w:p w14:paraId="3D8D9FDD" w14:textId="77777777" w:rsidR="000B0799" w:rsidRPr="000B0799" w:rsidRDefault="000B0799" w:rsidP="000B0799">
            <w:pPr>
              <w:spacing w:after="0" w:line="240" w:lineRule="auto"/>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 xml:space="preserve">Overall Change After Additional Treatment </w:t>
            </w:r>
          </w:p>
        </w:tc>
        <w:tc>
          <w:tcPr>
            <w:tcW w:w="1080" w:type="dxa"/>
            <w:tcBorders>
              <w:top w:val="single" w:sz="4" w:space="0" w:color="auto"/>
              <w:left w:val="nil"/>
              <w:bottom w:val="single" w:sz="4" w:space="0" w:color="auto"/>
              <w:right w:val="single" w:sz="4" w:space="0" w:color="auto"/>
            </w:tcBorders>
            <w:shd w:val="clear" w:color="000000" w:fill="404040"/>
            <w:noWrap/>
            <w:vAlign w:val="bottom"/>
            <w:hideMark/>
          </w:tcPr>
          <w:p w14:paraId="7D3AC90F" w14:textId="77777777" w:rsidR="000B0799" w:rsidRPr="000B0799" w:rsidRDefault="000B0799" w:rsidP="000B0799">
            <w:pPr>
              <w:spacing w:after="0" w:line="240" w:lineRule="auto"/>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 </w:t>
            </w:r>
          </w:p>
        </w:tc>
        <w:tc>
          <w:tcPr>
            <w:tcW w:w="1170" w:type="dxa"/>
            <w:tcBorders>
              <w:top w:val="single" w:sz="4" w:space="0" w:color="auto"/>
              <w:left w:val="nil"/>
              <w:bottom w:val="single" w:sz="4" w:space="0" w:color="auto"/>
              <w:right w:val="single" w:sz="4" w:space="0" w:color="auto"/>
            </w:tcBorders>
            <w:shd w:val="clear" w:color="000000" w:fill="404040"/>
            <w:noWrap/>
            <w:vAlign w:val="bottom"/>
            <w:hideMark/>
          </w:tcPr>
          <w:p w14:paraId="5340343E" w14:textId="77777777" w:rsidR="000B0799" w:rsidRPr="000B0799" w:rsidRDefault="000B0799" w:rsidP="000B0799">
            <w:pPr>
              <w:spacing w:after="0" w:line="240" w:lineRule="auto"/>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 </w:t>
            </w:r>
          </w:p>
        </w:tc>
        <w:tc>
          <w:tcPr>
            <w:tcW w:w="1620" w:type="dxa"/>
            <w:tcBorders>
              <w:top w:val="single" w:sz="4" w:space="0" w:color="auto"/>
              <w:left w:val="nil"/>
              <w:bottom w:val="single" w:sz="4" w:space="0" w:color="auto"/>
              <w:right w:val="single" w:sz="4" w:space="0" w:color="auto"/>
            </w:tcBorders>
            <w:shd w:val="clear" w:color="000000" w:fill="404040"/>
            <w:noWrap/>
            <w:vAlign w:val="bottom"/>
            <w:hideMark/>
          </w:tcPr>
          <w:p w14:paraId="612108A9" w14:textId="77777777" w:rsidR="000B0799" w:rsidRPr="000B0799" w:rsidRDefault="000B0799" w:rsidP="000B0799">
            <w:pPr>
              <w:spacing w:after="0" w:line="240" w:lineRule="auto"/>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 </w:t>
            </w:r>
          </w:p>
        </w:tc>
      </w:tr>
      <w:tr w:rsidR="000B0799" w:rsidRPr="000B0799" w14:paraId="5F7C69F2" w14:textId="77777777" w:rsidTr="000B0799">
        <w:trPr>
          <w:trHeight w:val="320"/>
        </w:trPr>
        <w:tc>
          <w:tcPr>
            <w:tcW w:w="2425" w:type="dxa"/>
            <w:tcBorders>
              <w:top w:val="nil"/>
              <w:left w:val="nil"/>
              <w:bottom w:val="nil"/>
              <w:right w:val="nil"/>
            </w:tcBorders>
            <w:shd w:val="clear" w:color="000000" w:fill="404040"/>
            <w:noWrap/>
            <w:vAlign w:val="bottom"/>
            <w:hideMark/>
          </w:tcPr>
          <w:p w14:paraId="436D6E75" w14:textId="77777777" w:rsidR="000B0799" w:rsidRPr="000B0799" w:rsidRDefault="000B0799" w:rsidP="000B0799">
            <w:pPr>
              <w:spacing w:after="0" w:line="240" w:lineRule="auto"/>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Model</w:t>
            </w:r>
          </w:p>
        </w:tc>
        <w:tc>
          <w:tcPr>
            <w:tcW w:w="1080" w:type="dxa"/>
            <w:tcBorders>
              <w:top w:val="nil"/>
              <w:left w:val="single" w:sz="4" w:space="0" w:color="auto"/>
              <w:bottom w:val="single" w:sz="4" w:space="0" w:color="auto"/>
              <w:right w:val="single" w:sz="4" w:space="0" w:color="auto"/>
            </w:tcBorders>
            <w:shd w:val="clear" w:color="000000" w:fill="404040"/>
            <w:noWrap/>
            <w:vAlign w:val="bottom"/>
            <w:hideMark/>
          </w:tcPr>
          <w:p w14:paraId="58334E3A" w14:textId="77777777" w:rsidR="000B0799" w:rsidRPr="000B0799" w:rsidRDefault="000B0799" w:rsidP="000B0799">
            <w:pPr>
              <w:spacing w:after="0" w:line="240" w:lineRule="auto"/>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Estimate</w:t>
            </w:r>
          </w:p>
        </w:tc>
        <w:tc>
          <w:tcPr>
            <w:tcW w:w="1170" w:type="dxa"/>
            <w:tcBorders>
              <w:top w:val="nil"/>
              <w:left w:val="nil"/>
              <w:bottom w:val="single" w:sz="4" w:space="0" w:color="auto"/>
              <w:right w:val="single" w:sz="4" w:space="0" w:color="auto"/>
            </w:tcBorders>
            <w:shd w:val="clear" w:color="000000" w:fill="404040"/>
            <w:noWrap/>
            <w:vAlign w:val="bottom"/>
            <w:hideMark/>
          </w:tcPr>
          <w:p w14:paraId="434CEB1A" w14:textId="77777777" w:rsidR="000B0799" w:rsidRPr="000B0799" w:rsidRDefault="000B0799" w:rsidP="000B0799">
            <w:pPr>
              <w:spacing w:after="0" w:line="240" w:lineRule="auto"/>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Lower CL</w:t>
            </w:r>
          </w:p>
        </w:tc>
        <w:tc>
          <w:tcPr>
            <w:tcW w:w="1620" w:type="dxa"/>
            <w:tcBorders>
              <w:top w:val="nil"/>
              <w:left w:val="nil"/>
              <w:bottom w:val="single" w:sz="4" w:space="0" w:color="auto"/>
              <w:right w:val="single" w:sz="4" w:space="0" w:color="auto"/>
            </w:tcBorders>
            <w:shd w:val="clear" w:color="000000" w:fill="404040"/>
            <w:noWrap/>
            <w:vAlign w:val="bottom"/>
            <w:hideMark/>
          </w:tcPr>
          <w:p w14:paraId="78E40ABA" w14:textId="77777777" w:rsidR="000B0799" w:rsidRPr="000B0799" w:rsidRDefault="000B0799" w:rsidP="000B0799">
            <w:pPr>
              <w:spacing w:after="0" w:line="240" w:lineRule="auto"/>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Upper CL</w:t>
            </w:r>
          </w:p>
        </w:tc>
      </w:tr>
      <w:tr w:rsidR="000B0799" w:rsidRPr="000B0799" w14:paraId="451E1C4D" w14:textId="77777777" w:rsidTr="000B0799">
        <w:trPr>
          <w:trHeight w:val="320"/>
        </w:trPr>
        <w:tc>
          <w:tcPr>
            <w:tcW w:w="2425" w:type="dxa"/>
            <w:tcBorders>
              <w:top w:val="single" w:sz="4" w:space="0" w:color="auto"/>
              <w:left w:val="single" w:sz="4" w:space="0" w:color="auto"/>
              <w:bottom w:val="single" w:sz="4" w:space="0" w:color="auto"/>
              <w:right w:val="single" w:sz="4" w:space="0" w:color="auto"/>
            </w:tcBorders>
            <w:shd w:val="clear" w:color="000000" w:fill="404040"/>
            <w:noWrap/>
            <w:vAlign w:val="bottom"/>
            <w:hideMark/>
          </w:tcPr>
          <w:p w14:paraId="42F943CD" w14:textId="77777777" w:rsidR="000B0799" w:rsidRPr="000B0799" w:rsidRDefault="000B0799" w:rsidP="000B0799">
            <w:pPr>
              <w:spacing w:after="0" w:line="240" w:lineRule="auto"/>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Beta binomial</w:t>
            </w:r>
          </w:p>
        </w:tc>
        <w:tc>
          <w:tcPr>
            <w:tcW w:w="1080" w:type="dxa"/>
            <w:tcBorders>
              <w:top w:val="nil"/>
              <w:left w:val="nil"/>
              <w:bottom w:val="single" w:sz="4" w:space="0" w:color="auto"/>
              <w:right w:val="single" w:sz="4" w:space="0" w:color="auto"/>
            </w:tcBorders>
            <w:shd w:val="clear" w:color="000000" w:fill="404040"/>
            <w:noWrap/>
            <w:vAlign w:val="bottom"/>
            <w:hideMark/>
          </w:tcPr>
          <w:p w14:paraId="6FAAF5F9" w14:textId="77777777" w:rsidR="000B0799" w:rsidRPr="000B0799" w:rsidRDefault="000B0799" w:rsidP="000B0799">
            <w:pPr>
              <w:spacing w:after="0" w:line="240" w:lineRule="auto"/>
              <w:jc w:val="right"/>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-0.0974</w:t>
            </w:r>
          </w:p>
        </w:tc>
        <w:tc>
          <w:tcPr>
            <w:tcW w:w="1170" w:type="dxa"/>
            <w:tcBorders>
              <w:top w:val="nil"/>
              <w:left w:val="nil"/>
              <w:bottom w:val="single" w:sz="4" w:space="0" w:color="auto"/>
              <w:right w:val="single" w:sz="4" w:space="0" w:color="auto"/>
            </w:tcBorders>
            <w:shd w:val="clear" w:color="000000" w:fill="404040"/>
            <w:noWrap/>
            <w:vAlign w:val="bottom"/>
            <w:hideMark/>
          </w:tcPr>
          <w:p w14:paraId="0CAB3DE2" w14:textId="77777777" w:rsidR="000B0799" w:rsidRPr="000B0799" w:rsidRDefault="000B0799" w:rsidP="000B0799">
            <w:pPr>
              <w:spacing w:after="0" w:line="240" w:lineRule="auto"/>
              <w:jc w:val="right"/>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-0.141</w:t>
            </w:r>
          </w:p>
        </w:tc>
        <w:tc>
          <w:tcPr>
            <w:tcW w:w="1620" w:type="dxa"/>
            <w:tcBorders>
              <w:top w:val="nil"/>
              <w:left w:val="nil"/>
              <w:bottom w:val="single" w:sz="4" w:space="0" w:color="auto"/>
              <w:right w:val="single" w:sz="4" w:space="0" w:color="auto"/>
            </w:tcBorders>
            <w:shd w:val="clear" w:color="000000" w:fill="404040"/>
            <w:noWrap/>
            <w:vAlign w:val="bottom"/>
            <w:hideMark/>
          </w:tcPr>
          <w:p w14:paraId="2071B449" w14:textId="77777777" w:rsidR="000B0799" w:rsidRPr="000B0799" w:rsidRDefault="000B0799" w:rsidP="000B0799">
            <w:pPr>
              <w:spacing w:after="0" w:line="240" w:lineRule="auto"/>
              <w:jc w:val="right"/>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-0.0566</w:t>
            </w:r>
          </w:p>
        </w:tc>
      </w:tr>
      <w:tr w:rsidR="000B0799" w:rsidRPr="000B0799" w14:paraId="3A9E5398" w14:textId="77777777" w:rsidTr="000B0799">
        <w:trPr>
          <w:trHeight w:val="320"/>
        </w:trPr>
        <w:tc>
          <w:tcPr>
            <w:tcW w:w="2425" w:type="dxa"/>
            <w:tcBorders>
              <w:top w:val="nil"/>
              <w:left w:val="single" w:sz="4" w:space="0" w:color="auto"/>
              <w:bottom w:val="single" w:sz="4" w:space="0" w:color="auto"/>
              <w:right w:val="single" w:sz="4" w:space="0" w:color="auto"/>
            </w:tcBorders>
            <w:shd w:val="clear" w:color="000000" w:fill="404040"/>
            <w:noWrap/>
            <w:vAlign w:val="bottom"/>
            <w:hideMark/>
          </w:tcPr>
          <w:p w14:paraId="2F309043" w14:textId="77777777" w:rsidR="000B0799" w:rsidRPr="000B0799" w:rsidRDefault="000B0799" w:rsidP="000B0799">
            <w:pPr>
              <w:spacing w:after="0" w:line="240" w:lineRule="auto"/>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 xml:space="preserve">Beta </w:t>
            </w:r>
          </w:p>
        </w:tc>
        <w:tc>
          <w:tcPr>
            <w:tcW w:w="1080" w:type="dxa"/>
            <w:tcBorders>
              <w:top w:val="nil"/>
              <w:left w:val="nil"/>
              <w:bottom w:val="single" w:sz="4" w:space="0" w:color="auto"/>
              <w:right w:val="single" w:sz="4" w:space="0" w:color="auto"/>
            </w:tcBorders>
            <w:shd w:val="clear" w:color="000000" w:fill="404040"/>
            <w:noWrap/>
            <w:vAlign w:val="bottom"/>
            <w:hideMark/>
          </w:tcPr>
          <w:p w14:paraId="751B2F75" w14:textId="77777777" w:rsidR="000B0799" w:rsidRPr="000B0799" w:rsidRDefault="000B0799" w:rsidP="000B0799">
            <w:pPr>
              <w:spacing w:after="0" w:line="240" w:lineRule="auto"/>
              <w:jc w:val="right"/>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-0.0449</w:t>
            </w:r>
          </w:p>
        </w:tc>
        <w:tc>
          <w:tcPr>
            <w:tcW w:w="1170" w:type="dxa"/>
            <w:tcBorders>
              <w:top w:val="nil"/>
              <w:left w:val="nil"/>
              <w:bottom w:val="single" w:sz="4" w:space="0" w:color="auto"/>
              <w:right w:val="single" w:sz="4" w:space="0" w:color="auto"/>
            </w:tcBorders>
            <w:shd w:val="clear" w:color="000000" w:fill="404040"/>
            <w:noWrap/>
            <w:vAlign w:val="bottom"/>
            <w:hideMark/>
          </w:tcPr>
          <w:p w14:paraId="2EF88288" w14:textId="77777777" w:rsidR="000B0799" w:rsidRPr="000B0799" w:rsidRDefault="000B0799" w:rsidP="000B0799">
            <w:pPr>
              <w:spacing w:after="0" w:line="240" w:lineRule="auto"/>
              <w:jc w:val="right"/>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-0.0678</w:t>
            </w:r>
          </w:p>
        </w:tc>
        <w:tc>
          <w:tcPr>
            <w:tcW w:w="1620" w:type="dxa"/>
            <w:tcBorders>
              <w:top w:val="nil"/>
              <w:left w:val="nil"/>
              <w:bottom w:val="single" w:sz="4" w:space="0" w:color="auto"/>
              <w:right w:val="single" w:sz="4" w:space="0" w:color="auto"/>
            </w:tcBorders>
            <w:shd w:val="clear" w:color="000000" w:fill="404040"/>
            <w:noWrap/>
            <w:vAlign w:val="bottom"/>
            <w:hideMark/>
          </w:tcPr>
          <w:p w14:paraId="0EB46BF5" w14:textId="77777777" w:rsidR="000B0799" w:rsidRPr="000B0799" w:rsidRDefault="000B0799" w:rsidP="000B0799">
            <w:pPr>
              <w:spacing w:after="0" w:line="240" w:lineRule="auto"/>
              <w:jc w:val="right"/>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-0.021</w:t>
            </w:r>
          </w:p>
        </w:tc>
      </w:tr>
      <w:tr w:rsidR="000B0799" w:rsidRPr="000B0799" w14:paraId="3A63983F" w14:textId="77777777" w:rsidTr="000B0799">
        <w:trPr>
          <w:trHeight w:val="320"/>
        </w:trPr>
        <w:tc>
          <w:tcPr>
            <w:tcW w:w="2425" w:type="dxa"/>
            <w:tcBorders>
              <w:top w:val="nil"/>
              <w:left w:val="single" w:sz="4" w:space="0" w:color="auto"/>
              <w:bottom w:val="single" w:sz="4" w:space="0" w:color="auto"/>
              <w:right w:val="single" w:sz="4" w:space="0" w:color="auto"/>
            </w:tcBorders>
            <w:shd w:val="clear" w:color="000000" w:fill="404040"/>
            <w:noWrap/>
            <w:vAlign w:val="bottom"/>
            <w:hideMark/>
          </w:tcPr>
          <w:p w14:paraId="66F9D3E5" w14:textId="77777777" w:rsidR="000B0799" w:rsidRPr="000B0799" w:rsidRDefault="000B0799" w:rsidP="000B0799">
            <w:pPr>
              <w:spacing w:after="0" w:line="240" w:lineRule="auto"/>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LMM</w:t>
            </w:r>
          </w:p>
        </w:tc>
        <w:tc>
          <w:tcPr>
            <w:tcW w:w="1080" w:type="dxa"/>
            <w:tcBorders>
              <w:top w:val="nil"/>
              <w:left w:val="nil"/>
              <w:bottom w:val="single" w:sz="4" w:space="0" w:color="auto"/>
              <w:right w:val="single" w:sz="4" w:space="0" w:color="auto"/>
            </w:tcBorders>
            <w:shd w:val="clear" w:color="000000" w:fill="404040"/>
            <w:noWrap/>
            <w:vAlign w:val="bottom"/>
            <w:hideMark/>
          </w:tcPr>
          <w:p w14:paraId="1942E4B1" w14:textId="77777777" w:rsidR="000B0799" w:rsidRPr="000B0799" w:rsidRDefault="000B0799" w:rsidP="000B0799">
            <w:pPr>
              <w:spacing w:after="0" w:line="240" w:lineRule="auto"/>
              <w:jc w:val="right"/>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-0.03</w:t>
            </w:r>
          </w:p>
        </w:tc>
        <w:tc>
          <w:tcPr>
            <w:tcW w:w="1170" w:type="dxa"/>
            <w:tcBorders>
              <w:top w:val="nil"/>
              <w:left w:val="nil"/>
              <w:bottom w:val="single" w:sz="4" w:space="0" w:color="auto"/>
              <w:right w:val="single" w:sz="4" w:space="0" w:color="auto"/>
            </w:tcBorders>
            <w:shd w:val="clear" w:color="000000" w:fill="404040"/>
            <w:noWrap/>
            <w:vAlign w:val="bottom"/>
            <w:hideMark/>
          </w:tcPr>
          <w:p w14:paraId="364C0E60" w14:textId="77777777" w:rsidR="000B0799" w:rsidRPr="000B0799" w:rsidRDefault="000B0799" w:rsidP="000B0799">
            <w:pPr>
              <w:spacing w:after="0" w:line="240" w:lineRule="auto"/>
              <w:jc w:val="right"/>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-0.0455</w:t>
            </w:r>
          </w:p>
        </w:tc>
        <w:tc>
          <w:tcPr>
            <w:tcW w:w="1620" w:type="dxa"/>
            <w:tcBorders>
              <w:top w:val="nil"/>
              <w:left w:val="nil"/>
              <w:bottom w:val="single" w:sz="4" w:space="0" w:color="auto"/>
              <w:right w:val="single" w:sz="4" w:space="0" w:color="auto"/>
            </w:tcBorders>
            <w:shd w:val="clear" w:color="000000" w:fill="404040"/>
            <w:noWrap/>
            <w:vAlign w:val="bottom"/>
            <w:hideMark/>
          </w:tcPr>
          <w:p w14:paraId="1ED05BEF" w14:textId="77777777" w:rsidR="000B0799" w:rsidRPr="000B0799" w:rsidRDefault="000B0799" w:rsidP="000B0799">
            <w:pPr>
              <w:spacing w:after="0" w:line="240" w:lineRule="auto"/>
              <w:jc w:val="right"/>
              <w:rPr>
                <w:rFonts w:ascii="Aptos Narrow" w:eastAsia="Times New Roman" w:hAnsi="Aptos Narrow" w:cs="Times New Roman"/>
                <w:color w:val="ADADAD"/>
                <w:kern w:val="0"/>
                <w14:ligatures w14:val="none"/>
              </w:rPr>
            </w:pPr>
            <w:r w:rsidRPr="000B0799">
              <w:rPr>
                <w:rFonts w:ascii="Aptos Narrow" w:eastAsia="Times New Roman" w:hAnsi="Aptos Narrow" w:cs="Times New Roman"/>
                <w:color w:val="ADADAD"/>
                <w:kern w:val="0"/>
                <w14:ligatures w14:val="none"/>
              </w:rPr>
              <w:t>-0.0142</w:t>
            </w:r>
          </w:p>
        </w:tc>
      </w:tr>
    </w:tbl>
    <w:p w14:paraId="2049B5B5" w14:textId="77777777" w:rsidR="000B0799" w:rsidRDefault="000B0799"/>
    <w:p w14:paraId="3BEA12C8" w14:textId="4DA482F1" w:rsidR="00802CCE" w:rsidRDefault="000B0799">
      <w:r>
        <w:t>For the second research question, all three models found</w:t>
      </w:r>
      <w:r w:rsidR="0010776F">
        <w:t xml:space="preserve"> </w:t>
      </w:r>
      <w:r w:rsidR="0010776F">
        <w:rPr>
          <w:i/>
          <w:iCs/>
        </w:rPr>
        <w:t>overall</w:t>
      </w:r>
      <w:r>
        <w:t xml:space="preserve"> significant declines in use following additional therapy.  </w:t>
      </w:r>
      <w:r w:rsidR="002E641F">
        <w:t>None, however, found any significant differences between treatments. That said</w:t>
      </w:r>
      <w:r w:rsidR="0010776F">
        <w:t>, for GDC and SE across all models, 95% credible intervals included 0, while for IDC and CT, they did not include 0. Therefore, while we can’t conclude that any treatment did better than any other at decreasing use, we can only conclude that IDC and CT reduced use with additional treatment.</w:t>
      </w:r>
    </w:p>
    <w:p w14:paraId="1CFF0F0A" w14:textId="6F13AE92" w:rsidR="0010776F" w:rsidRDefault="0010776F"/>
    <w:p w14:paraId="5020FAD3" w14:textId="33693939" w:rsidR="0010776F" w:rsidRDefault="0010776F">
      <w:r w:rsidRPr="0010776F">
        <w:lastRenderedPageBreak/>
        <w:drawing>
          <wp:inline distT="0" distB="0" distL="0" distR="0" wp14:anchorId="66C50769" wp14:editId="39142C42">
            <wp:extent cx="5943600" cy="3672205"/>
            <wp:effectExtent l="0" t="0" r="0" b="0"/>
            <wp:docPr id="50086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69795" name=""/>
                    <pic:cNvPicPr/>
                  </pic:nvPicPr>
                  <pic:blipFill>
                    <a:blip r:embed="rId8"/>
                    <a:stretch>
                      <a:fillRect/>
                    </a:stretch>
                  </pic:blipFill>
                  <pic:spPr>
                    <a:xfrm>
                      <a:off x="0" y="0"/>
                      <a:ext cx="5943600" cy="3672205"/>
                    </a:xfrm>
                    <a:prstGeom prst="rect">
                      <a:avLst/>
                    </a:prstGeom>
                  </pic:spPr>
                </pic:pic>
              </a:graphicData>
            </a:graphic>
          </wp:inline>
        </w:drawing>
      </w:r>
    </w:p>
    <w:p w14:paraId="42997CAF" w14:textId="4D5AEE1B" w:rsidR="0010776F" w:rsidRDefault="0010776F">
      <w:r>
        <w:t xml:space="preserve">This visualization demonstrates for the primary model, the estimated declines over time. Increasing uncertainty over time is partially due to dropout, but mostly due to the model automatically increasing certainty as values approach 0. Visually, it does seem as though IDC has the strongest slope. </w:t>
      </w:r>
      <w:r w:rsidR="0091258A">
        <w:t xml:space="preserve">I excluded baseline here as it would only compress the scale, and the second research question pertains solely to whether additional therapy past </w:t>
      </w:r>
      <w:r w:rsidR="00084685">
        <w:t>one month</w:t>
      </w:r>
      <w:r w:rsidR="0091258A">
        <w:t xml:space="preserve"> reduced use. </w:t>
      </w:r>
      <w:r w:rsidR="00084685">
        <w:t xml:space="preserve">Note that these values pertain to the theoretical median patient, not to the population average, and so are larger than the numbers seen in the mean profile plots above. </w:t>
      </w:r>
    </w:p>
    <w:p w14:paraId="1DF9FB2A" w14:textId="77777777" w:rsidR="003336EE" w:rsidRDefault="003336EE"/>
    <w:p w14:paraId="59C9259C" w14:textId="77777777" w:rsidR="003336EE" w:rsidRDefault="003336EE"/>
    <w:p w14:paraId="752F8F36" w14:textId="77777777" w:rsidR="003336EE" w:rsidRDefault="003336EE"/>
    <w:p w14:paraId="6274D41B" w14:textId="77777777" w:rsidR="003336EE" w:rsidRDefault="003336EE"/>
    <w:p w14:paraId="30DDC4EE" w14:textId="77777777" w:rsidR="003336EE" w:rsidRDefault="003336EE"/>
    <w:p w14:paraId="7FC7BA4F" w14:textId="77777777" w:rsidR="003336EE" w:rsidRDefault="003336EE"/>
    <w:p w14:paraId="31BA507A" w14:textId="77777777" w:rsidR="003336EE" w:rsidRDefault="003336EE"/>
    <w:p w14:paraId="5D3CFB43" w14:textId="2708CED9" w:rsidR="003336EE" w:rsidRDefault="003336EE">
      <w:r>
        <w:rPr>
          <w:noProof/>
        </w:rPr>
        <w:lastRenderedPageBreak/>
        <w:drawing>
          <wp:inline distT="0" distB="0" distL="0" distR="0" wp14:anchorId="17F42277" wp14:editId="58E3201B">
            <wp:extent cx="5641450" cy="3271559"/>
            <wp:effectExtent l="0" t="0" r="0" b="5080"/>
            <wp:docPr id="1515878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78705" name="Picture 15158787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5508" cy="3285511"/>
                    </a:xfrm>
                    <a:prstGeom prst="rect">
                      <a:avLst/>
                    </a:prstGeom>
                  </pic:spPr>
                </pic:pic>
              </a:graphicData>
            </a:graphic>
          </wp:inline>
        </w:drawing>
      </w:r>
    </w:p>
    <w:p w14:paraId="5AC816B7" w14:textId="77777777" w:rsidR="003336EE" w:rsidRDefault="003336EE"/>
    <w:p w14:paraId="7A59A15D" w14:textId="0D55F739" w:rsidR="003336EE" w:rsidRDefault="003336EE">
      <w:r>
        <w:t xml:space="preserve">These are the conclusions, but how does the primary model perform overall? First, I can do a posterior predictive check, which checks whether data predicted by the model is </w:t>
      </w:r>
      <w:r w:rsidR="00230248">
        <w:t xml:space="preserve">similar to </w:t>
      </w:r>
      <w:r>
        <w:t>the observed data</w:t>
      </w:r>
      <w:r w:rsidR="0063374E">
        <w:t>, in the aggregate</w:t>
      </w:r>
      <w:r>
        <w:t xml:space="preserve">. In the above visualization, the x axis is the number of predicted days using drugs, and the y axis is the number of observations with said number. The model appears to predict the data extremely well, It slightly underestimates the number of patients reporting 1 day per month, but correctly the number of 0s and 30s, which can be a huge issue for these models, meaning no extra sub-models need to be fit for 0s. The other potential issue is that it cannot predict the spikes at 10, 15, 20, and 25 days reported, which is likely due to inaccurate recall. No model can really account for that, however. </w:t>
      </w:r>
    </w:p>
    <w:p w14:paraId="241B2023" w14:textId="0C12176C" w:rsidR="003336EE" w:rsidRDefault="003336EE"/>
    <w:p w14:paraId="708B4111" w14:textId="062B3862" w:rsidR="0010776F" w:rsidRDefault="0010776F"/>
    <w:p w14:paraId="1AEF7CB4" w14:textId="77777777" w:rsidR="00802CCE" w:rsidRDefault="00802CCE"/>
    <w:p w14:paraId="54B6CE31" w14:textId="5B7CE0B2" w:rsidR="00802CCE" w:rsidRDefault="00802CCE"/>
    <w:p w14:paraId="1BB27803" w14:textId="77777777" w:rsidR="00802CCE" w:rsidRDefault="00802CCE"/>
    <w:p w14:paraId="5D4B4C5D" w14:textId="3A4672ED" w:rsidR="00802CCE" w:rsidRDefault="00802CCE"/>
    <w:p w14:paraId="7AEA7547" w14:textId="77777777" w:rsidR="009F75E8" w:rsidRDefault="009F75E8"/>
    <w:p w14:paraId="4C85B74A" w14:textId="40D573BD" w:rsidR="00BC65FE" w:rsidRPr="00BC65FE" w:rsidRDefault="00BC65FE">
      <w:pPr>
        <w:rPr>
          <w:sz w:val="40"/>
          <w:szCs w:val="40"/>
        </w:rPr>
      </w:pPr>
      <w:r w:rsidRPr="00BC65FE">
        <w:rPr>
          <w:sz w:val="40"/>
          <w:szCs w:val="40"/>
        </w:rPr>
        <w:lastRenderedPageBreak/>
        <w:t>Technical Details:</w:t>
      </w:r>
    </w:p>
    <w:p w14:paraId="37DE343C" w14:textId="22FC96B2" w:rsidR="00BC65FE" w:rsidRDefault="00BC65FE">
      <w:r>
        <w:t xml:space="preserve">At the time, the researchers used a ln(y +1) transformation on the days used per month data, followed by a linear mixed model anova (MMANOVA) analysis using categorical time and a Toeplitz covariance structure, adjusting for baseline use, in SAS’s PROC MIXED. The Box Cox transformation has many issues, and the use of categorical time alone loses much statistical power as it discards the time ordering of the data. In addition, the Normal distribution knows no bounds, and wherever the transformation of zero has landed, the model will predict values lower than transformed zero, which is nonsensical. </w:t>
      </w:r>
    </w:p>
    <w:p w14:paraId="643DAF8D" w14:textId="2838678E" w:rsidR="002C6137" w:rsidRDefault="00B50B5A">
      <w:r>
        <w:t>As sensitivity analysis, I fit three distributional families with the same random effect structure. For all three, for each patient, I fit random intercepts as well as random slopes to the two time contrasts, as well as residual first order autocorrelation to capture nonlinear within-subject trends.</w:t>
      </w:r>
      <w:r w:rsidR="00493198">
        <w:t xml:space="preserve"> The restricted fixed effect selection means that </w:t>
      </w:r>
      <w:r>
        <w:t xml:space="preserve"> </w:t>
      </w:r>
      <w:r w:rsidR="00493198">
        <w:t xml:space="preserve">The limited fixed effect selection causes random intercepts to reflect variation at intake. The data my professor gave me did not contain therapist level data, and I treated site as a fixed effect with no interaction, due to the small number (n = 5). </w:t>
      </w:r>
      <w:r>
        <w:t>First, I fit a beta binomial model, treating each day as a “trial”, which maintained the discrete and bounded nature of the data. Second, a shifted beta model, where 0s were set to 0.01, 30s to 30.1, and all data divided by 30.02, to fit the data to the exclusive (0,1) bounds of beta regression. Third, I used the same ln(y+1) transformation to the data and fit a linear mixed model</w:t>
      </w:r>
      <w:r w:rsidR="002C6137">
        <w:t xml:space="preserve"> (LMM)</w:t>
      </w:r>
      <w:r>
        <w:t xml:space="preserve">. </w:t>
      </w:r>
      <w:r w:rsidR="002C6137">
        <w:t xml:space="preserve">The beta and beta binomial models used the complementary log-log (cloglog) link due to the highly skewed point mass of the observations, while the LMM used the canonical identity link. </w:t>
      </w:r>
    </w:p>
    <w:p w14:paraId="607035A9" w14:textId="3E0CF692" w:rsidR="00B50B5A" w:rsidRDefault="00B50B5A">
      <w:r>
        <w:t xml:space="preserve">I used the flexible Bayesian regression package brms in R to perform this analysis, as it’s use of priors for random effects allows all prespecified random effects to converge, unlike frequentist models. I used default priors for all effects, which were weakly informative for random effects and flat for fixed effects. </w:t>
      </w:r>
      <w:r w:rsidR="00493198">
        <w:t xml:space="preserve">Thus, the credible intervals presented are asymptotically equivalent to restricted maximum likelihood estimates. Given the large subject count (n = 487) and total observations (N = 2683), this asymptotic assumption should hold. </w:t>
      </w:r>
      <w:r w:rsidR="00B846D5">
        <w:t xml:space="preserve">I used the emmeans package to estimate time trends and contrasts, equivalent to SAS’s LSMEANS and ESTIMATE statements. </w:t>
      </w:r>
    </w:p>
    <w:p w14:paraId="10598FD7" w14:textId="3F0D1068" w:rsidR="009F75E8" w:rsidRDefault="009F75E8">
      <w:r>
        <w:t xml:space="preserve">Abstracting from the 'trials' interpretation, the </w:t>
      </w:r>
      <w:r w:rsidR="00E55CAF">
        <w:t>b</w:t>
      </w:r>
      <w:r>
        <w:t>eta-binomia</w:t>
      </w:r>
      <w:r>
        <w:t xml:space="preserve">l, which was treated as </w:t>
      </w:r>
      <w:r w:rsidR="00E55CAF">
        <w:t xml:space="preserve">the </w:t>
      </w:r>
      <w:r>
        <w:t>primary</w:t>
      </w:r>
      <w:r w:rsidR="00E55CAF">
        <w:t xml:space="preserve"> model</w:t>
      </w:r>
      <w:r>
        <w:t xml:space="preserve">, </w:t>
      </w:r>
      <w:r>
        <w:t>serves as a flexible distribution for discrete bounded data [0,30], accommodating both the bounded support and the observed dispersion patterns. The estimated precision parameter (φ = 116 [57, 251]) indicates the distribution is well-behaved with no pathological boundary issues</w:t>
      </w:r>
      <w:r w:rsidR="00FA1830">
        <w:t xml:space="preserve">. </w:t>
      </w:r>
    </w:p>
    <w:p w14:paraId="719DC822" w14:textId="09F78760" w:rsidR="00B846D5" w:rsidRDefault="00A2089E">
      <w:r>
        <w:rPr>
          <w:noProof/>
        </w:rPr>
        <w:object w:dxaOrig="8620" w:dyaOrig="9940" w14:anchorId="387A016C">
          <v:shape id="_x0000_i1025" type="#_x0000_t75" alt="" style="width:430.75pt;height:497.1pt;mso-width-percent:0;mso-height-percent:0;mso-width-percent:0;mso-height-percent:0" o:ole="">
            <v:imagedata r:id="rId10" o:title=""/>
          </v:shape>
          <o:OLEObject Type="Embed" ProgID="Excel.Sheet.12" ShapeID="_x0000_i1025" DrawAspect="Content" ObjectID="_1841122868" r:id="rId11"/>
        </w:object>
      </w:r>
    </w:p>
    <w:p w14:paraId="5FA3ADFA" w14:textId="77777777" w:rsidR="002C6137" w:rsidRDefault="002C6137"/>
    <w:p w14:paraId="7EE73B0A" w14:textId="014119A2" w:rsidR="00B50B5A" w:rsidRDefault="00E66BBA">
      <w:r>
        <w:t xml:space="preserve">For all random effects except the PostTreatTime slopes in the Beta and LMM, the lower credible interval is meaningfully different than 0, indicating that </w:t>
      </w:r>
      <w:r w:rsidR="00F44701">
        <w:t>the sample participants meaningfully differed in their baseline use and response to treatment, conditional on residual correlation. For all three models, residual autocorrelation was positive and credibly different from 0, indicating that conditional on individual level characteristics, there was still correlation on the population level among measurements.</w:t>
      </w:r>
    </w:p>
    <w:sectPr w:rsidR="00B50B5A" w:rsidSect="001C4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Menlo-Regular">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F71A6"/>
    <w:multiLevelType w:val="hybridMultilevel"/>
    <w:tmpl w:val="EB20B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80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426"/>
    <w:rsid w:val="00084685"/>
    <w:rsid w:val="000B0799"/>
    <w:rsid w:val="000D6885"/>
    <w:rsid w:val="00104CCE"/>
    <w:rsid w:val="0010776F"/>
    <w:rsid w:val="00133C20"/>
    <w:rsid w:val="001452F3"/>
    <w:rsid w:val="001C4250"/>
    <w:rsid w:val="00230248"/>
    <w:rsid w:val="002C6137"/>
    <w:rsid w:val="002E641F"/>
    <w:rsid w:val="002F2BB2"/>
    <w:rsid w:val="003336EE"/>
    <w:rsid w:val="003358C9"/>
    <w:rsid w:val="00397C73"/>
    <w:rsid w:val="003B4B97"/>
    <w:rsid w:val="00493198"/>
    <w:rsid w:val="0052053C"/>
    <w:rsid w:val="005A05EF"/>
    <w:rsid w:val="00607048"/>
    <w:rsid w:val="006148B5"/>
    <w:rsid w:val="0063374E"/>
    <w:rsid w:val="00654426"/>
    <w:rsid w:val="00683C56"/>
    <w:rsid w:val="006C1394"/>
    <w:rsid w:val="007F687C"/>
    <w:rsid w:val="00802CCE"/>
    <w:rsid w:val="008C38C8"/>
    <w:rsid w:val="0091258A"/>
    <w:rsid w:val="009F75E8"/>
    <w:rsid w:val="00A2089E"/>
    <w:rsid w:val="00A36452"/>
    <w:rsid w:val="00A62742"/>
    <w:rsid w:val="00A9739A"/>
    <w:rsid w:val="00AB1232"/>
    <w:rsid w:val="00AB3F49"/>
    <w:rsid w:val="00B50B5A"/>
    <w:rsid w:val="00B846D5"/>
    <w:rsid w:val="00BC65FE"/>
    <w:rsid w:val="00BD073B"/>
    <w:rsid w:val="00C32091"/>
    <w:rsid w:val="00C3661C"/>
    <w:rsid w:val="00C6165E"/>
    <w:rsid w:val="00C8099B"/>
    <w:rsid w:val="00C85A14"/>
    <w:rsid w:val="00CE718D"/>
    <w:rsid w:val="00E55CAF"/>
    <w:rsid w:val="00E66BBA"/>
    <w:rsid w:val="00EA3405"/>
    <w:rsid w:val="00EC0EE4"/>
    <w:rsid w:val="00F04456"/>
    <w:rsid w:val="00F27542"/>
    <w:rsid w:val="00F44701"/>
    <w:rsid w:val="00F44E5E"/>
    <w:rsid w:val="00FA1830"/>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594FE"/>
  <w15:chartTrackingRefBased/>
  <w15:docId w15:val="{3CF85527-7546-5F4A-9C34-A8F94189C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426"/>
    <w:rPr>
      <w:rFonts w:eastAsiaTheme="majorEastAsia" w:cstheme="majorBidi"/>
      <w:color w:val="272727" w:themeColor="text1" w:themeTint="D8"/>
    </w:rPr>
  </w:style>
  <w:style w:type="paragraph" w:styleId="Title">
    <w:name w:val="Title"/>
    <w:basedOn w:val="Normal"/>
    <w:next w:val="Normal"/>
    <w:link w:val="TitleChar"/>
    <w:uiPriority w:val="10"/>
    <w:qFormat/>
    <w:rsid w:val="00654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426"/>
    <w:pPr>
      <w:spacing w:before="160"/>
      <w:jc w:val="center"/>
    </w:pPr>
    <w:rPr>
      <w:i/>
      <w:iCs/>
      <w:color w:val="404040" w:themeColor="text1" w:themeTint="BF"/>
    </w:rPr>
  </w:style>
  <w:style w:type="character" w:customStyle="1" w:styleId="QuoteChar">
    <w:name w:val="Quote Char"/>
    <w:basedOn w:val="DefaultParagraphFont"/>
    <w:link w:val="Quote"/>
    <w:uiPriority w:val="29"/>
    <w:rsid w:val="00654426"/>
    <w:rPr>
      <w:i/>
      <w:iCs/>
      <w:color w:val="404040" w:themeColor="text1" w:themeTint="BF"/>
    </w:rPr>
  </w:style>
  <w:style w:type="paragraph" w:styleId="ListParagraph">
    <w:name w:val="List Paragraph"/>
    <w:basedOn w:val="Normal"/>
    <w:uiPriority w:val="34"/>
    <w:qFormat/>
    <w:rsid w:val="00654426"/>
    <w:pPr>
      <w:ind w:left="720"/>
      <w:contextualSpacing/>
    </w:pPr>
  </w:style>
  <w:style w:type="character" w:styleId="IntenseEmphasis">
    <w:name w:val="Intense Emphasis"/>
    <w:basedOn w:val="DefaultParagraphFont"/>
    <w:uiPriority w:val="21"/>
    <w:qFormat/>
    <w:rsid w:val="00654426"/>
    <w:rPr>
      <w:i/>
      <w:iCs/>
      <w:color w:val="0F4761" w:themeColor="accent1" w:themeShade="BF"/>
    </w:rPr>
  </w:style>
  <w:style w:type="paragraph" w:styleId="IntenseQuote">
    <w:name w:val="Intense Quote"/>
    <w:basedOn w:val="Normal"/>
    <w:next w:val="Normal"/>
    <w:link w:val="IntenseQuoteChar"/>
    <w:uiPriority w:val="30"/>
    <w:qFormat/>
    <w:rsid w:val="00654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426"/>
    <w:rPr>
      <w:i/>
      <w:iCs/>
      <w:color w:val="0F4761" w:themeColor="accent1" w:themeShade="BF"/>
    </w:rPr>
  </w:style>
  <w:style w:type="character" w:styleId="IntenseReference">
    <w:name w:val="Intense Reference"/>
    <w:basedOn w:val="DefaultParagraphFont"/>
    <w:uiPriority w:val="32"/>
    <w:qFormat/>
    <w:rsid w:val="006544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package" Target="embeddings/Microsoft_Excel_Worksheet.xlsx"/><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package" Target="embeddings/Microsoft_Excel_Worksheet1.xlsx"/><Relationship Id="rId5" Type="http://schemas.openxmlformats.org/officeDocument/2006/relationships/image" Target="media/image1.png"/><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6</Pages>
  <Words>1100</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Daniel</dc:creator>
  <cp:keywords/>
  <dc:description/>
  <cp:lastModifiedBy>Cohen, Daniel</cp:lastModifiedBy>
  <cp:revision>34</cp:revision>
  <dcterms:created xsi:type="dcterms:W3CDTF">2026-05-23T20:11:00Z</dcterms:created>
  <dcterms:modified xsi:type="dcterms:W3CDTF">2026-05-24T14:14:00Z</dcterms:modified>
</cp:coreProperties>
</file>