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28da54d744aa1af1d6ea8de8b5dd761ed03d9a"/>
    <w:p>
      <w:pPr>
        <w:pStyle w:val="Heading1"/>
      </w:pPr>
      <w:r>
        <w:t xml:space="preserve">No volvieron a casa: Estrategia documental con las mujeres buscadoras de los desaparecidos del Caso Colectivo 82</w:t>
      </w:r>
    </w:p>
    <w:p>
      <w:pPr>
        <w:pStyle w:val="FirstParagraph"/>
      </w:pPr>
      <w:r>
        <w:rPr>
          <w:bCs/>
          <w:b/>
        </w:rPr>
        <w:t xml:space="preserve">Autor:</w:t>
      </w:r>
      <w:r>
        <w:t xml:space="preserve"> </w:t>
      </w:r>
      <w:r>
        <w:t xml:space="preserve">Sergio Ernesto Ramírez Martínez</w:t>
      </w:r>
      <w:r>
        <w:br/>
      </w:r>
      <w:r>
        <w:rPr>
          <w:bCs/>
          <w:b/>
        </w:rPr>
        <w:t xml:space="preserve">Universidad del Tolima – Facultad de Ciencias Humanas y Artes</w:t>
      </w:r>
      <w:r>
        <w:br/>
      </w:r>
      <w:r>
        <w:rPr>
          <w:bCs/>
          <w:b/>
        </w:rPr>
        <w:t xml:space="preserve">Programa de Comunicación Social – Periodismo</w:t>
      </w:r>
      <w:r>
        <w:br/>
      </w:r>
      <w:r>
        <w:rPr>
          <w:bCs/>
          <w:b/>
        </w:rPr>
        <w:t xml:space="preserve">Ibagué – Colombia, 2025</w:t>
      </w:r>
    </w:p>
    <w:bookmarkStart w:id="20" w:name="dedicatoria"/>
    <w:p>
      <w:pPr>
        <w:pStyle w:val="Heading2"/>
      </w:pPr>
      <w:r>
        <w:t xml:space="preserve">Dedicatoria</w:t>
      </w:r>
    </w:p>
    <w:p>
      <w:pPr>
        <w:pStyle w:val="FirstParagraph"/>
      </w:pPr>
      <w:r>
        <w:t xml:space="preserve">A esa madre cuidadora, protectora, que da vida y espera que nunca se la arrebaten. A la que tiene la esperanza de volverlos a ver, de que algún día aparezcan. A la que sirve un plato de más porque aún no se hace a la idea de que le falta uno o varios. A la que llora al recordarlos y aún los busca en sombras efímeras. A la que le pide a la cruz que le señale el camino a casa. A la que, sin importar tormenta, estará detrás de la ventana orando por su hijo o por su esposo. Que da lo mismo 10, 20 o 40 años; el dolor es el mismo desde que fueron desaparecidos. Recordándolos se resisten al olvido, a la indiferencia y al desprestigio. Todo esto es por la dignidad, ya que la ausencia se mide en esperanza. A todas las madres, hermanas y esposas, a las víctimas y a sus familiares, al Estado y a los responsables. A las familias que no renuncian un solo día a su misión de buscar a sus seres queridos. A todos ellos.</w:t>
      </w:r>
    </w:p>
    <w:bookmarkEnd w:id="20"/>
    <w:bookmarkStart w:id="21" w:name="agradecimientos"/>
    <w:p>
      <w:pPr>
        <w:pStyle w:val="Heading2"/>
      </w:pPr>
      <w:r>
        <w:t xml:space="preserve">Agradecimientos</w:t>
      </w:r>
    </w:p>
    <w:p>
      <w:pPr>
        <w:pStyle w:val="FirstParagraph"/>
      </w:pPr>
      <w:r>
        <w:t xml:space="preserve">Agradezco enormemente a las familias de las víctimas por permitirme acercarme a ellas y escucharlas. En un acto de fe, mi retribución y forma de hacer patria. A mi padre y a mi madre, gracias por apoyarme siempre. A mi hermano Sebastián, por su aporte al arte y a las víctimas. A mi hermano Daniel por su apoyo económico en esta carrera; quedo en deuda eternamente. A mi hermano Cesar, por su determinación; a mis sobrinitos y finalmente a mi hermanita Catalina, que desde el cielo debe estar orgullosa de los logros que hemos obtenido. Al tutor, profesor Diego Avendaño, por su asesoría y acompañamiento. A mi pareja, a la Universidad del Tolima y a mis amigos, gracias.</w:t>
      </w:r>
    </w:p>
    <w:bookmarkEnd w:id="21"/>
    <w:bookmarkStart w:id="22" w:name="resumen"/>
    <w:p>
      <w:pPr>
        <w:pStyle w:val="Heading2"/>
      </w:pPr>
      <w:r>
        <w:t xml:space="preserve">Resumen</w:t>
      </w:r>
    </w:p>
    <w:p>
      <w:pPr>
        <w:pStyle w:val="FirstParagraph"/>
      </w:pPr>
      <w:r>
        <w:t xml:space="preserve">El documental y la miniserie</w:t>
      </w:r>
      <w:r>
        <w:t xml:space="preserve"> </w:t>
      </w:r>
      <w:r>
        <w:rPr>
          <w:iCs/>
          <w:i/>
        </w:rPr>
        <w:t xml:space="preserve">No volvieron a casa</w:t>
      </w:r>
      <w:r>
        <w:t xml:space="preserve"> </w:t>
      </w:r>
      <w:r>
        <w:t xml:space="preserve">recuperan el proceso artístico y de memoria desarrollado entre 2022 y 2025 por un grupo de mujeres buscadoras, hijas y hermanas de algunos de los detenidos‑desaparecidos en el llamado Caso Colectivo 82. Estas mujeres han convertido el ejercicio creativo en una forma de homenaje y resistencia. A través de prácticas como la elaboración de faroles, portarretratos y otros objetos simbólicos, canalizan el dolor y lo transforman en acciones sensibles que resignifican la ausencia, dando lugar a un proceso expresivo y reparador. El arte se configura no solo como un medio para narrar lo ocurrido, sino como una herramienta para la resiliencia, la sanación y la construcción de memoria colectiva (Herrera, 2010).</w:t>
      </w:r>
    </w:p>
    <w:p>
      <w:pPr>
        <w:pStyle w:val="BodyText"/>
      </w:pPr>
      <w:r>
        <w:t xml:space="preserve">La producción audiovisual y sonora constituye un archivo sensible que documenta cómo estas mujeres se aproximan a la práctica artística mientras elaboran sentidos alrededor de la ausencia y reconstruyen sus memorias familiares. El cortometraje recoge sus testimonios a través de registros en audio y video realizados en el taller</w:t>
      </w:r>
      <w:r>
        <w:t xml:space="preserve"> </w:t>
      </w:r>
      <w:r>
        <w:rPr>
          <w:iCs/>
          <w:i/>
        </w:rPr>
        <w:t xml:space="preserve">Amoratorio de creación: Entre cenizas e incandescencias</w:t>
      </w:r>
      <w:r>
        <w:t xml:space="preserve">, complementados con imágenes de apoyo filmadas en la Universidad Nacional de Colombia, materiales de archivo de la Filmoteca Nacional sobre Bogotá en 1982 y documentación de diversos encuentros conmemorativos a los que se acompañó durante el proceso.</w:t>
      </w:r>
    </w:p>
    <w:p>
      <w:pPr>
        <w:pStyle w:val="BodyText"/>
      </w:pPr>
      <w:r>
        <w:t xml:space="preserve">El enfoque de investigación‑creación adoptado en esta tesis articula la participación en el proceso comunitario con la producción de obras de carácter documental y sonoro. El resultado busca abrir espacios de circulación de estas voces, contribuir a la visibilización de un caso poco documentado y fortalecer las memorias familiares en torno al Caso 82, con un impacto social orientado a promover la escucha activa, el diálogo y el reconocimiento del derecho a la verdad.</w:t>
      </w:r>
    </w:p>
    <w:bookmarkEnd w:id="22"/>
    <w:bookmarkStart w:id="23" w:name="abstract"/>
    <w:p>
      <w:pPr>
        <w:pStyle w:val="Heading2"/>
      </w:pPr>
      <w:r>
        <w:t xml:space="preserve">Abstract</w:t>
      </w:r>
    </w:p>
    <w:p>
      <w:pPr>
        <w:pStyle w:val="FirstParagraph"/>
      </w:pPr>
      <w:r>
        <w:t xml:space="preserve">The documentary and miniseries</w:t>
      </w:r>
      <w:r>
        <w:t xml:space="preserve"> </w:t>
      </w:r>
      <w:r>
        <w:rPr>
          <w:iCs/>
          <w:i/>
        </w:rPr>
        <w:t xml:space="preserve">No volvieron a casa</w:t>
      </w:r>
      <w:r>
        <w:t xml:space="preserve"> </w:t>
      </w:r>
      <w:r>
        <w:t xml:space="preserve">retraces the artistic and memory‑building process carried out between 2022 and 2025 by a group of women searchers – daughters and sisters of some of the detainees‑disappeared in Collective Case 82 – who have transformed creative practice into an act of tribute and resistance. Through activities such as crafting lanterns, picture frames and other symbolic objects, these women channel their grief and reshape it into thoughtful actions that reframe absence, giving rise to an expressive, healing process. In this context, art emerges not only as a means to recount what happened but as a vital tool for resilience, healing and the construction of collective memory (Herrera, 2010).</w:t>
      </w:r>
    </w:p>
    <w:p>
      <w:pPr>
        <w:pStyle w:val="BodyText"/>
      </w:pPr>
      <w:r>
        <w:t xml:space="preserve">The audiovisual and sound production constitutes a sensitive archive that documents how these women approach artistic practice while developing meanings around absence and reconstructing their family memories. The short film collects their testimonies through audio and video recordings from the workshop</w:t>
      </w:r>
      <w:r>
        <w:t xml:space="preserve"> </w:t>
      </w:r>
      <w:r>
        <w:rPr>
          <w:iCs/>
          <w:i/>
        </w:rPr>
        <w:t xml:space="preserve">Amoratorio de creación: Entre cenizas e incandescencias</w:t>
      </w:r>
      <w:r>
        <w:t xml:space="preserve">, complemented with footage recorded at the Universidad Nacional de Colombia, archival materials from the National Film Library about Bogotá in 1982, and documentation of various commemorative encounters that were accompanied during the process.</w:t>
      </w:r>
    </w:p>
    <w:p>
      <w:pPr>
        <w:pStyle w:val="BodyText"/>
      </w:pPr>
      <w:r>
        <w:t xml:space="preserve">The research‑creation approach adopted in this thesis combines participation in the community process with the production of documentary and sound works. The result seeks to open spaces for the circulation of these voices, contribute to the visibility of a poorly documented case and strengthen the family memories around Case 82, with a social impact aimed at promoting active listening, dialogue and recognition of the right to truth.</w:t>
      </w:r>
    </w:p>
    <w:bookmarkEnd w:id="23"/>
    <w:bookmarkStart w:id="24" w:name="introducción"/>
    <w:p>
      <w:pPr>
        <w:pStyle w:val="Heading2"/>
      </w:pPr>
      <w:r>
        <w:t xml:space="preserve">Introducción</w:t>
      </w:r>
    </w:p>
    <w:p>
      <w:pPr>
        <w:pStyle w:val="FirstParagraph"/>
      </w:pPr>
      <w:r>
        <w:t xml:space="preserve">Entre los meses de marzo y septiembre de 1982, trece jóvenes —estudiantes universitarios, obreros y campesinos provenientes del municipio de Gachalá, Cundinamarca— fueron víctimas de detención arbitraria y desaparición forzada en Bogotá. Este hecho, conocido como el Caso Colectivo 82, se inscribe dentro de un patrón sistemático de violencia estatal que marcó profundamente la historia del país en el contexto del conflicto armado (Molano Camargo &amp; Forero Hidalgo, 2020). Durante décadas, las madres y hermanas de los desaparecidos han sostenido la búsqueda de verdad y justicia, enfrentándose no solo al silencio institucional sino también al peso del olvido social.</w:t>
      </w:r>
    </w:p>
    <w:p>
      <w:pPr>
        <w:pStyle w:val="BodyText"/>
      </w:pPr>
      <w:r>
        <w:t xml:space="preserve">Tras las desapariciones, algunos medios de comunicación contribuyeron a reforzar ese silencio e impunidad al reproducir sin cuestionamiento las versiones oficiales que criminalizaban a las víctimas. Varios periódicos difundieron titulares que insinuaban vínculos de los jóvenes con grupos insurgentes, legitimando así la narrativa estatal y dejando sin voz a quienes más necesitaban ser escuchados. Esta cobertura periodística, más cercana a la propaganda que al ejercicio ético del periodismo (Vázquez Liñán &amp; Leetoy, 2016), abonó al olvido y a la estigmatización. Frente a este panorama, emergió la voz persistente de las mujeres buscadoras del Caso 82.</w:t>
      </w:r>
    </w:p>
    <w:p>
      <w:pPr>
        <w:pStyle w:val="BodyText"/>
      </w:pPr>
      <w:r>
        <w:t xml:space="preserve">Ellas han resistido durante más de cuatro décadas a la impunidad y al olvido, al silencio institucional y al dolor que produce la ausencia forzada. En este proceso han resignificado su rol en la esfera pública, convirtiéndose en sujetas políticas y tejedoras de memoria. Su resistencia ha sido no solo jurídica y forense, sino también simbólica, afectiva y artística. Entre 2022 y 2024, con motivo de los cuarenta años del caso, llevaron a cabo la práctica</w:t>
      </w:r>
      <w:r>
        <w:t xml:space="preserve"> </w:t>
      </w:r>
      <w:r>
        <w:rPr>
          <w:iCs/>
          <w:i/>
        </w:rPr>
        <w:t xml:space="preserve">Entre cenizas e incandescencias</w:t>
      </w:r>
      <w:r>
        <w:t xml:space="preserve">, una serie de encuentros donde el arte se convirtió en lenguaje de duelo, homenaje y expresión. El fuego, las cenizas, la palabra, la imagen y los gestos compartidos emergieron como formas de sostener la memoria, resistir al olvido y seguir nombrando a sus seres queridos desaparecidos.</w:t>
      </w:r>
    </w:p>
    <w:p>
      <w:pPr>
        <w:pStyle w:val="BodyText"/>
      </w:pPr>
      <w:r>
        <w:t xml:space="preserve">En este contexto, la labor del comunicador social y del periodista trasciende la función informativa tradicional para convertirse en una práctica ética, política y humana. No se trata únicamente de contar historias, sino de crear condiciones para que las voces acalladas puedan ser escuchadas con dignidad (Jelin, 2002). Quien asume esta tarea se convierte en mediador sensible entre los testimonios y la sociedad, y en acompañante activo de procesos sociales que reclaman justicia y reparación. Narrar memorias de dolor exige reconocer los límites éticos de la representación: evitar la revictimización, amplificar sin instrumentalizar y aprovechar el potencial transformador del lenguaje audiovisual y sonoro (Nichols, 2010). En estos lenguajes se juega la visibilización de lo sucedido y la posibilidad de crear sentidos compartidos que contribuyan a una cultura de memoria activa.</w:t>
      </w:r>
    </w:p>
    <w:bookmarkEnd w:id="24"/>
    <w:bookmarkStart w:id="25" w:name="justificación"/>
    <w:p>
      <w:pPr>
        <w:pStyle w:val="Heading2"/>
      </w:pPr>
      <w:r>
        <w:t xml:space="preserve">1. Justificación</w:t>
      </w:r>
    </w:p>
    <w:p>
      <w:pPr>
        <w:pStyle w:val="FirstParagraph"/>
      </w:pPr>
      <w:r>
        <w:t xml:space="preserve">Trabajar con víctimas de desaparición forzada exige una aproximación ética rigurosa, sensible y consciente del daño acumulado que estas personas han vivido durante décadas. La desaparición forzada no solo implica la sustracción del cuerpo, sino también una violencia prolongada que interrumpe el duelo, fragmenta los lazos familiares y deja a las familias atrapadas en una espera sin respuesta (Oficina del Alto Comisionado, 2012). Por ello, cualquier proceso investigativo, comunicativo o artístico que involucre a familiares de desaparecidos debe anteponer la dignidad, la autonomía y la integridad emocional de quienes participan.</w:t>
      </w:r>
    </w:p>
    <w:p>
      <w:pPr>
        <w:pStyle w:val="BodyText"/>
      </w:pPr>
      <w:r>
        <w:t xml:space="preserve">En el caso del Colectivo 82, conformado por mujeres que han cargado con la búsqueda durante más de cuatro décadas, la dimensión ética cobra mayor relevancia. Estas mujeres han enfrentado no solo la ausencia de sus seres queridos, sino también el silencio institucional, la indiferencia social y la revictimización mediática. La Comisión de la Verdad advirtió que la desaparición forzada genera</w:t>
      </w:r>
      <w:r>
        <w:t xml:space="preserve"> </w:t>
      </w:r>
      <w:r>
        <w:t xml:space="preserve">“</w:t>
      </w:r>
      <w:r>
        <w:t xml:space="preserve">duelos suspendidos</w:t>
      </w:r>
      <w:r>
        <w:t xml:space="preserve">”</w:t>
      </w:r>
      <w:r>
        <w:t xml:space="preserve"> </w:t>
      </w:r>
      <w:r>
        <w:t xml:space="preserve">y</w:t>
      </w:r>
      <w:r>
        <w:t xml:space="preserve"> </w:t>
      </w:r>
      <w:r>
        <w:t xml:space="preserve">“</w:t>
      </w:r>
      <w:r>
        <w:t xml:space="preserve">memorias truncadas</w:t>
      </w:r>
      <w:r>
        <w:t xml:space="preserve">”</w:t>
      </w:r>
      <w:r>
        <w:t xml:space="preserve">, por lo que cualquier registro debe priorizar el cuidado emocional, evitando la exposición innecesaria del dolor y respetando los límites narrativos que cada participante desee mantener (Comisión de la Verdad, 2021).</w:t>
      </w:r>
    </w:p>
    <w:p>
      <w:pPr>
        <w:pStyle w:val="BodyText"/>
      </w:pPr>
      <w:r>
        <w:t xml:space="preserve">La elección del Colectivo 82 como caso de estudio responde a una necesidad histórica y política: este episodio constituye el primer registro de desaparición forzada colectiva en Bogotá y uno de los casos más invisibilizados del conflicto urbano (Molano Camargo &amp; Forero Hidalgo, 2020). A pesar de su relevancia, la documentación oficial es fragmentaria y no existe un archivo sistemático que permita reconstruir la totalidad de los hechos. La Comisión de la Verdad resaltó que las madres del Colectivo 82 han cargado casi en solitario con la memoria del caso, mientras la sociedad conoce muy poco de este episodio (Comisión de la Verdad, 2022). Abordar este caso desde la investigación‑creación no solo llena un vacío historiográfico, sino que también responde a una responsabilidad comunicativa: acompañar y amplificar una memoria silenciada durante décadas.</w:t>
      </w:r>
    </w:p>
    <w:p>
      <w:pPr>
        <w:pStyle w:val="BodyText"/>
      </w:pPr>
      <w:r>
        <w:t xml:space="preserve">El arte desempeña un papel fundamental en la elaboración del trauma, la reconstrucción del duelo y la generación de memoria colectiva. Elizabeth Jelin (2002) conceptualiza los</w:t>
      </w:r>
      <w:r>
        <w:t xml:space="preserve"> </w:t>
      </w:r>
      <w:r>
        <w:rPr>
          <w:iCs/>
          <w:i/>
        </w:rPr>
        <w:t xml:space="preserve">trabajos de la memoria</w:t>
      </w:r>
      <w:r>
        <w:t xml:space="preserve"> </w:t>
      </w:r>
      <w:r>
        <w:t xml:space="preserve">como procesos mediante los cuales individuos y comunidades elaboran sentidos, disputan narrativas y reconstruyen subjetividades después de experiencias traumáticas. En contextos de desaparición forzada, donde no hay cuerpo ni funeral, las prácticas artísticas se convierten en espacios para dar forma a lo que falta, simbolizar la ausencia y transformar el dolor en acción colectiva (Herrera, 2010). Félix Guattari (1995) plantea que el arte crea</w:t>
      </w:r>
      <w:r>
        <w:t xml:space="preserve"> </w:t>
      </w:r>
      <w:r>
        <w:t xml:space="preserve">“</w:t>
      </w:r>
      <w:r>
        <w:t xml:space="preserve">territorios existenciales</w:t>
      </w:r>
      <w:r>
        <w:t xml:space="preserve">”</w:t>
      </w:r>
      <w:r>
        <w:t xml:space="preserve"> </w:t>
      </w:r>
      <w:r>
        <w:t xml:space="preserve">en los que es posible reorganizar la subjetividad y producir nuevas percepciones del mundo.</w:t>
      </w:r>
    </w:p>
    <w:p>
      <w:pPr>
        <w:pStyle w:val="BodyText"/>
      </w:pPr>
      <w:r>
        <w:t xml:space="preserve">Este proyecto se inserta en ese ecosistema artístico‑memorial no como una obra externa que observa desde la distancia, sino como un dispositivo que dialoga con las prácticas existentes y las amplifica. El documental y el podcast se construyen a partir de las acciones de las mujeres, acompañándolas en su proceso creativo y respetando sus tiempos y deseos. La cámara y el sonido no capturan únicamente acciones, sino que revelan sensibilidades y permiten que sus voces circulen en otros espacios que también necesitan escucharlas. Desde esta perspectiva, la investigación‑creación se convierte en una herramienta de reparación simbólica, archivo vivo y acto político en defensa de la dignidad, la memoria y la verdad (Nichols, 2010).</w:t>
      </w:r>
    </w:p>
    <w:p>
      <w:pPr>
        <w:pStyle w:val="BodyText"/>
      </w:pPr>
      <w:r>
        <w:t xml:space="preserve">Por estas razones, el trabajo busca visibilizar y acompañar, desde una perspectiva ética y comunicativa, los procesos de búsqueda, memoria y denuncia impulsados por las mujeres del Colectivo 82. Se pretende contribuir a la comprensión de cómo las prácticas artísticas devienen lenguajes para decir lo indecible, a fortalecer la presencia de este caso en la memoria pública y a aportar herramientas narrativas que abran espacios de diálogo y justicia simbólica. La obra final está concebida no solo como un producto académico, sino como un recurso para la apropiación social del conocimiento y la construcción de paz.</w:t>
      </w:r>
    </w:p>
    <w:bookmarkEnd w:id="25"/>
    <w:bookmarkStart w:id="26" w:name="planteamiento-del-problema"/>
    <w:p>
      <w:pPr>
        <w:pStyle w:val="Heading2"/>
      </w:pPr>
      <w:r>
        <w:t xml:space="preserve">2. Planteamiento del problema</w:t>
      </w:r>
    </w:p>
    <w:p>
      <w:pPr>
        <w:pStyle w:val="FirstParagraph"/>
      </w:pPr>
      <w:r>
        <w:t xml:space="preserve">La desaparición forzada en Colombia ha configurado una de las violencias más complejas y persistentes del conflicto sociopolítico contemporáneo. Este crimen, que implica la negación del cuerpo, la interrupción del duelo y la producción de silencios institucionales, continúa afectando a miles de familias que llevan décadas en búsqueda (Oficina del Alto Comisionado, 2012). Entre estos casos, el denominado</w:t>
      </w:r>
      <w:r>
        <w:t xml:space="preserve"> </w:t>
      </w:r>
      <w:r>
        <w:t xml:space="preserve">“</w:t>
      </w:r>
      <w:r>
        <w:t xml:space="preserve">Caso Colectivo 82</w:t>
      </w:r>
      <w:r>
        <w:t xml:space="preserve">”</w:t>
      </w:r>
      <w:r>
        <w:t xml:space="preserve"> </w:t>
      </w:r>
      <w:r>
        <w:t xml:space="preserve">representa un episodio particularmente significativo por tratarse del primer registro de desaparición forzada colectiva en Bogotá y uno de los menos documentados en la memoria pública del país (Molano Camargo &amp; Forero Hidalgo, 2020). A pesar de su importancia histórica, las narrativas oficiales y los medios de comunicación han mantenido este caso en un plano marginal, reduciendo su presencia a relatos fragmentados, notas policiales o archivos incompletos que no recogen la dimensión humana, emocional y comunitaria de la experiencia de las familias (Agencia UD, 2022).</w:t>
      </w:r>
    </w:p>
    <w:p>
      <w:pPr>
        <w:pStyle w:val="BodyText"/>
      </w:pPr>
      <w:r>
        <w:t xml:space="preserve">En este contexto emerge el Colectivo 82, conformado por mujeres —madres, hermanas e hijas— que han sostenido durante más de cuatro décadas la búsqueda de sus familiares desaparecidos. Estas mujeres han desarrollado prácticas de memoria profundamente significativas: caminatas con faroles, altares con fotografías, bordados con fechas, objetos simbólicos y acciones públicas que articulan afecto, cuidado, denuncia y resistencia. La Comisión de la Verdad describió estas prácticas como formas de resistencia que sostienen la memoria cuando todo lo demás ha fallado (Comisión de la Verdad, 2022). Sin embargo, pese a su potencia expresiva y política, existe una marcada ausencia de investigaciones audiovisuales y sonoras que documenten y analicen estos procesos desde perspectivas sensibles y situadas.</w:t>
      </w:r>
    </w:p>
    <w:p>
      <w:pPr>
        <w:pStyle w:val="BodyText"/>
      </w:pPr>
      <w:r>
        <w:t xml:space="preserve">La falta de registro no solo invisibiliza la lucha del Colectivo 82, sino que también limita la comprensión de cómo las víctimas elaboran memoria en su vida cotidiana. La literatura sobre memoria histórica ha señalado que los objetos, rituales y prácticas simbólicas son fundamentales para reconstruir la presencia de los ausentes, especialmente cuando el duelo se encuentra suspendido (Jelin, 2002). En el Caso 82 no existen suficientes estudios que permitan responder preguntas esenciales: ¿cómo transforman estas mujeres el dolor en acción colectiva? ¿De qué forma los objetos, los rituales y el arte se convierten en mediadores del duelo? ¿Qué narrativas íntimas emergen cuando la ausencia es permanente y la búsqueda se prolonga durante décadas? Este vacío investigativo impide comprender la memoria como un proceso emocional, estético y comunicativo, y no solo como un hecho político.</w:t>
      </w:r>
    </w:p>
    <w:p>
      <w:pPr>
        <w:pStyle w:val="BodyText"/>
      </w:pPr>
      <w:r>
        <w:t xml:space="preserve">A ello se suma la falta de productos audiovisuales y sonoros que amplíen la circulación de estas memorias hacia escenarios públicos, académicos y comunitarios. La representación mediática tradicional tiende a simplificar la desaparición forzada a partir de cifras, etapas judiciales o enfoques periodísticos centrados únicamente en el crimen (Señores desaparecedores, 2022). La narrativa pública del Caso 82 se ha construido sin la voz directa de las mujeres que lo han sostenido, generando un desequilibrio entre la magnitud del hecho y su reconocimiento social.</w:t>
      </w:r>
    </w:p>
    <w:p>
      <w:pPr>
        <w:pStyle w:val="BodyText"/>
      </w:pPr>
      <w:r>
        <w:t xml:space="preserve">Por otro lado, el campo académico y artístico ha demostrado que el arte, la imagen y el sonido pueden convertirse en herramientas poderosas para acompañar y comprender procesos de trauma y memoria (Guattari, 1995; Herrera, 2010). Elizabeth Jelin (2002) ha propuesto que las prácticas de memoria son</w:t>
      </w:r>
      <w:r>
        <w:t xml:space="preserve"> </w:t>
      </w:r>
      <w:r>
        <w:rPr>
          <w:iCs/>
          <w:i/>
        </w:rPr>
        <w:t xml:space="preserve">trabajos</w:t>
      </w:r>
      <w:r>
        <w:t xml:space="preserve"> </w:t>
      </w:r>
      <w:r>
        <w:t xml:space="preserve">que requieren elaboración simbólica y emocional, y que los lenguajes artísticos permiten expresar lo que muchas veces no cabe en la palabra directa. A pesar de este potencial, el Caso 82 ha sido escasamente explorado desde el enfoque de investigación‑creación, lo cual limita la comprensión del papel del arte como estrategia de sanación, resistencia y reconstrucción subjetiva.</w:t>
      </w:r>
    </w:p>
    <w:p>
      <w:pPr>
        <w:pStyle w:val="BodyText"/>
      </w:pPr>
      <w:r>
        <w:t xml:space="preserve">El problema central que aborda este proyecto se deriva de la convergencia de tres factores: (1) la invisibilización histórica y mediática del Caso Colectivo 82; (2) la ausencia de investigaciones y registros sensibles sobre las prácticas artísticas y memorias desarrolladas por sus integrantes; y (3) la falta de producciones audiovisuales y sonoras que amplíen la comprensión social del duelo y la resistencia que ejercen estas mujeres. Existe, por lo tanto, la necesidad de construir un registro documental y sonoro que, más allá de documentar, logre comprender y acompañar estas prácticas como formas de reparación simbólica, archivo vivo y acto político en defensa de la dignidad, la memoria y la verdad.</w:t>
      </w:r>
    </w:p>
    <w:p>
      <w:pPr>
        <w:pStyle w:val="BodyText"/>
      </w:pPr>
      <w:r>
        <w:t xml:space="preserve">Por todo lo anterior, este proyecto se plantea como respuesta a un vacío histórico, comunicativo y artístico: la urgente necesidad de narrar este caso desde la sensibilidad de quienes han cargado con su historia y han tejido, a través del arte y la palabra, formas de sostener la memoria cuando el Estado y la sociedad han fallado en hacerlo. La ausencia de narrativas que dignifiquen, humanicen y reconozcan la experiencia de estas mujeres buscadoras obliga a construir un documental y un podcast que, desde la investigación‑creación, permitan comprender cómo los lenguajes artísticos se convierten en herramientas de sanación, resistencia y producción de memoria en el Caso 82.</w:t>
      </w:r>
    </w:p>
    <w:bookmarkEnd w:id="26"/>
    <w:bookmarkStart w:id="27" w:name="objetivos"/>
    <w:p>
      <w:pPr>
        <w:pStyle w:val="Heading2"/>
      </w:pPr>
      <w:r>
        <w:t xml:space="preserve">3. Objetivos</w:t>
      </w:r>
    </w:p>
    <w:p>
      <w:pPr>
        <w:pStyle w:val="FirstParagraph"/>
      </w:pPr>
      <w:r>
        <w:rPr>
          <w:bCs/>
          <w:b/>
        </w:rPr>
        <w:t xml:space="preserve">Objetivo general:</w:t>
      </w:r>
      <w:r>
        <w:t xml:space="preserve"> </w:t>
      </w:r>
      <w:r>
        <w:t xml:space="preserve">Documentar, desde la investigación‑creación, las prácticas artísticas y de memoria desarrolladas por las mujeres buscadoras del Caso Colectivo 82, articulando un cortometraje documental y un podcast que contribuyan a la visibilización y comprensión de su proceso de búsqueda, resistencia y reconstrucción simbólica.</w:t>
      </w:r>
    </w:p>
    <w:p>
      <w:pPr>
        <w:pStyle w:val="BodyText"/>
      </w:pPr>
      <w:r>
        <w:rPr>
          <w:bCs/>
          <w:b/>
        </w:rPr>
        <w:t xml:space="preserve">Objetivos específicos:</w:t>
      </w:r>
    </w:p>
    <w:p>
      <w:pPr>
        <w:numPr>
          <w:ilvl w:val="0"/>
          <w:numId w:val="1001"/>
        </w:numPr>
        <w:pStyle w:val="Compact"/>
      </w:pPr>
      <w:r>
        <w:t xml:space="preserve">Identificar y analizar los relatos de vida, memorias y prácticas artísticas de las mujeres buscadoras del Caso 82, estableciendo las categorías y significados que emergen de sus experiencias.</w:t>
      </w:r>
      <w:r>
        <w:br/>
      </w:r>
    </w:p>
    <w:p>
      <w:pPr>
        <w:numPr>
          <w:ilvl w:val="0"/>
          <w:numId w:val="1001"/>
        </w:numPr>
        <w:pStyle w:val="Compact"/>
      </w:pPr>
      <w:r>
        <w:t xml:space="preserve">Diseñar y realizar un cortometraje documental que, desde una perspectiva ética y estética, narre las prácticas artísticas, los rituales y las memorias de las mujeres buscadoras, mostrando el proceso de creación desarrollado entre 2022 y 2025.</w:t>
      </w:r>
      <w:r>
        <w:br/>
      </w:r>
    </w:p>
    <w:p>
      <w:pPr>
        <w:numPr>
          <w:ilvl w:val="0"/>
          <w:numId w:val="1001"/>
        </w:numPr>
        <w:pStyle w:val="Compact"/>
      </w:pPr>
      <w:r>
        <w:t xml:space="preserve">Producir una miniserie sonora (podcast) que amplifique las voces de las mujeres buscadoras, estructurada en episodios temáticos que recuperen sus testimonios, reflexiones y aprendizajes sobre la búsqueda, el duelo y la resistencia simbólica.</w:t>
      </w:r>
    </w:p>
    <w:p>
      <w:pPr>
        <w:pStyle w:val="FirstParagraph"/>
      </w:pPr>
      <w:r>
        <w:t xml:space="preserve">Después de la formulación de los objetivos, se puede aclarar que cada uno de ellos guía un componente del trabajo: el primero orienta la investigación de campo y el análisis de las memorias; el segundo orienta la producción audiovisual; y el tercero orienta la creación sonora. Estos objetivos se relacionan entre sí y se nutren de un enfoque de investigación‑creación que combina la indagación etnográfica con la producción artística, permitiendo generar conocimiento situado y aportar a la reparación simbólica.</w:t>
      </w:r>
    </w:p>
    <w:bookmarkEnd w:id="27"/>
    <w:bookmarkStart w:id="28" w:name="marco-referencial"/>
    <w:p>
      <w:pPr>
        <w:pStyle w:val="Heading2"/>
      </w:pPr>
      <w:r>
        <w:t xml:space="preserve">4. Marco referencial</w:t>
      </w:r>
    </w:p>
    <w:p>
      <w:pPr>
        <w:pStyle w:val="FirstParagraph"/>
      </w:pPr>
      <w:r>
        <w:t xml:space="preserve">La desaparición forzada es un delito que afecta no solo a las personas desaparecidas sino también a sus familias, comunidades y sociedades. En Colombia, esta práctica ha sido utilizada por actores estatales y paraestatales como forma de control social y represión política (Mira González et al., 2020). Al negarse la entrega del cuerpo, se priva a las familias del derecho a despedirse y se suspende el duelo, generando un sufrimiento prolongado que se reproduce en la vida cotidiana (Oficina del Alto Comisionado, 2012).</w:t>
      </w:r>
    </w:p>
    <w:p>
      <w:pPr>
        <w:pStyle w:val="BodyText"/>
      </w:pPr>
      <w:r>
        <w:t xml:space="preserve">El estudio de la memoria en sociedades atravesadas por la violencia ha señalado que recordar no es un acto neutral. Maurice Halbwachs (1990) propuso que la memoria colectiva se construye socialmente y que la manera en que se recuerda el pasado refleja relaciones de poder. Elizabeth Jelin (2002) profundizó en esta idea y afirmó que los</w:t>
      </w:r>
      <w:r>
        <w:t xml:space="preserve"> </w:t>
      </w:r>
      <w:r>
        <w:t xml:space="preserve">“</w:t>
      </w:r>
      <w:r>
        <w:t xml:space="preserve">trabajos de la memoria</w:t>
      </w:r>
      <w:r>
        <w:t xml:space="preserve">”</w:t>
      </w:r>
      <w:r>
        <w:t xml:space="preserve"> </w:t>
      </w:r>
      <w:r>
        <w:t xml:space="preserve">son procesos colectivos de disputa y resignificación, mediante los cuales distintos grupos buscan instalar sus relatos en la esfera pública y disputar el monopolio de las narrativas oficiales. En este marco, las prácticas artísticas devienen lenguajes privilegiados para expresar lo que el discurso tradicional no logra decir.</w:t>
      </w:r>
    </w:p>
    <w:p>
      <w:pPr>
        <w:pStyle w:val="BodyText"/>
      </w:pPr>
      <w:r>
        <w:t xml:space="preserve">Las estéticas del duelo se han convertido en un campo de estudio que analiza cómo el arte posibilita la elaboración del dolor y la construcción de memoria. Soraya Herrera (2010) mostró que, en contextos de violencia política, las expresiones artísticas permiten</w:t>
      </w:r>
      <w:r>
        <w:t xml:space="preserve"> </w:t>
      </w:r>
      <w:r>
        <w:t xml:space="preserve">“</w:t>
      </w:r>
      <w:r>
        <w:t xml:space="preserve">tramitar el dolor</w:t>
      </w:r>
      <w:r>
        <w:t xml:space="preserve">”</w:t>
      </w:r>
      <w:r>
        <w:t xml:space="preserve"> </w:t>
      </w:r>
      <w:r>
        <w:t xml:space="preserve">a través de símbolos, gestos y acciones colectivas que abren un espacio para la reparación simbólica. Estas prácticas generan un tejido afectivo que sostiene a las comunidades en situaciones de duelo suspendido. Félix Guattari (1995) complementó esta lectura al concebir el arte como un</w:t>
      </w:r>
      <w:r>
        <w:t xml:space="preserve"> </w:t>
      </w:r>
      <w:r>
        <w:t xml:space="preserve">“</w:t>
      </w:r>
      <w:r>
        <w:t xml:space="preserve">territorio existencial</w:t>
      </w:r>
      <w:r>
        <w:t xml:space="preserve">”</w:t>
      </w:r>
      <w:r>
        <w:t xml:space="preserve"> </w:t>
      </w:r>
      <w:r>
        <w:t xml:space="preserve">donde se produce una recomposición de la subjetividad, permitiendo que las personas afectadas construyan nuevas formas de sentir y percibir su realidad.</w:t>
      </w:r>
    </w:p>
    <w:p>
      <w:pPr>
        <w:pStyle w:val="BodyText"/>
      </w:pPr>
      <w:r>
        <w:t xml:space="preserve">La investigación en comunicación y cultura ha destacado que los medios audiovisuales y sonoros cumplen un papel crucial en la construcción de memoria histórica. Bill Nichols (2010) conceptualiza el cine documental como una representación de la realidad que siempre implica una postura ética y política. Según el autor, el documental no se limita a registrar hechos; construye relatos, otorga voz y posiciona al espectador frente a la historia. En América Latina, el documental ha sido un vehículo para preservar memorias negadas y denunciar violaciones a los derechos humanos (Feld &amp; Stites Mor, 2009). Este género ha permitido conservar aquello que las narrativas institucionales tienden a borrar y ha ofrecido recursos para activar la memoria en espacios comunitarios, académicos y educativos (Acuña, 2009).</w:t>
      </w:r>
    </w:p>
    <w:p>
      <w:pPr>
        <w:pStyle w:val="BodyText"/>
      </w:pPr>
      <w:r>
        <w:t xml:space="preserve">En el ámbito sonoro, investigaciones como las de Jonathan Sterne (2003) han subrayado que el sonido y la voz constituyen elementos fundamentales para comprender la memoria cultural. Sterne argumenta que los paisajes sonoros tienen el poder de evocar experiencias, vínculos afectivos y contextos históricos, y que la escucha es una práctica social que se desarrolla en comunidades de sentido. María Tavares (2015) sostiene que el podcast es un dispositivo idóneo para la construcción de memoria, pues la intimidad de la voz permite un acercamiento sensible a los relatos y posibilita la participación de oyentes que, al escuchar, reconstruyen mentalmente los espacios narrados. La producción sonora abre así un campo creativo para la memoria colectiva.</w:t>
      </w:r>
    </w:p>
    <w:p>
      <w:pPr>
        <w:pStyle w:val="BodyText"/>
      </w:pPr>
      <w:r>
        <w:t xml:space="preserve">Desde la perspectiva metodológica, la investigación‑creación se entiende como una integración de procesos investigativos y productivos que legitiman la experiencia sensible y la participación de los actores sociales. Chavarría‑Zambrano y Camacho (2018) presentan la etnografía como una ruta metodológica que, al centrarse en la observación participante, la conversación y la reflexión, permite comprender las prácticas culturales en su contexto. Este enfoque se combina aquí con la producción audiovisual y sonora para generar conocimiento situado, en diálogo con las teorías de Jelin (2002) sobre los trabajos de la memoria.</w:t>
      </w:r>
    </w:p>
    <w:p>
      <w:pPr>
        <w:pStyle w:val="BodyText"/>
      </w:pPr>
      <w:r>
        <w:t xml:space="preserve">En el caso de las desapariciones, la investigación‑creación debe ser sensible a la dimensión ética y emocional del campo. Estudios sobre el documental como herramienta de memoria (Ari​​as Gómez, 2016; González Cuesta, 2004) destacan que se debe evitar la espectacularización del sufrimiento y fomentar una relación horizontal entre realizador y participantes. La presencia de testimonios debe construirse con consentimiento informado, cuidado emocional y respeto a las historias que se narran.</w:t>
      </w:r>
    </w:p>
    <w:p>
      <w:pPr>
        <w:pStyle w:val="BodyText"/>
      </w:pPr>
      <w:r>
        <w:t xml:space="preserve">Por último, el análisis de la cobertura mediática de la desaparición forzada muestra que los medios tradicionales han perpetuado vacíos y estigmas. Chomsky y Herman (2000) han explicado cómo los</w:t>
      </w:r>
      <w:r>
        <w:t xml:space="preserve"> </w:t>
      </w:r>
      <w:r>
        <w:t xml:space="preserve">“</w:t>
      </w:r>
      <w:r>
        <w:t xml:space="preserve">guardianes de la libertad</w:t>
      </w:r>
      <w:r>
        <w:t xml:space="preserve">”</w:t>
      </w:r>
      <w:r>
        <w:t xml:space="preserve"> </w:t>
      </w:r>
      <w:r>
        <w:t xml:space="preserve">en los medios tienden a reforzar las versiones oficiales y a marginalizar las voces disidentes. Vázquez Liñán y Leetoy (2016) señalan que la propaganda estatal influye en las agendas mediáticas, desplazando temas como la desaparición forzada. Este panorama resalta la necesidad de proyectos comunicativos que promuevan narrativas alternativas y ejercicios de memoria.</w:t>
      </w:r>
    </w:p>
    <w:p>
      <w:pPr>
        <w:pStyle w:val="BodyText"/>
      </w:pPr>
      <w:r>
        <w:t xml:space="preserve">Este marco referencial articula conceptos de memoria colectiva, estéticas del duelo, arte y subjetividad, documental y podcast, metodologías etnográficas e investigación‑creación. En conjunto, estos enfoques permiten comprender la singularidad del caso estudiado y fundamentan teóricamente la producción audiovisual y sonora que se propone. El desafío consiste en integrar estas perspectivas con un compromiso ético que reconozca la agencia de las mujeres buscadoras, respete sus procesos de sanación y contribuya a la construcción de memoria histórica.</w:t>
      </w:r>
    </w:p>
    <w:bookmarkEnd w:id="28"/>
    <w:bookmarkStart w:id="36" w:name="metodología"/>
    <w:p>
      <w:pPr>
        <w:pStyle w:val="Heading2"/>
      </w:pPr>
      <w:r>
        <w:t xml:space="preserve">5. Metodología</w:t>
      </w:r>
    </w:p>
    <w:p>
      <w:pPr>
        <w:pStyle w:val="FirstParagraph"/>
      </w:pPr>
      <w:r>
        <w:t xml:space="preserve">La investigación se desarrolló bajo el enfoque de investigación‑creación, entendido como un proceso que articula la indagación académica con la producción de obras artísticas para generar conocimiento situado, sensible y transformador. Esta metodología combina la observación participante, la entrevista en profundidad, la creación audiovisual y sonora y la reflexión crítica sobre el proceso. El diseño metodológico se organiza en torno a los tres objetivos específicos planteados y se estructura en fases que permiten responder de manera coherente a cada uno de ellos.</w:t>
      </w:r>
    </w:p>
    <w:bookmarkStart w:id="29" w:name="enfoque-general-y-dimensiones-éticas"/>
    <w:p>
      <w:pPr>
        <w:pStyle w:val="Heading3"/>
      </w:pPr>
      <w:r>
        <w:t xml:space="preserve">5.1 Enfoque general y dimensiones éticas</w:t>
      </w:r>
    </w:p>
    <w:p>
      <w:pPr>
        <w:pStyle w:val="FirstParagraph"/>
      </w:pPr>
      <w:r>
        <w:t xml:space="preserve">El trabajo parte de una postura ética que reconoce a las mujeres buscadoras como colaboradoras del proceso y no como objetos de estudio. Se implementó un proceso de consentimiento informado continuo, donde cada participante fue informada sobre los objetivos, alcances y posibles riesgos de la investigación. Se establecieron protocolos de cuidado emocional antes y después de cada entrevista y sesión de grabación, reconociendo que narrar experiencias traumáticas puede implicar una reactivación del dolor (Comisión de la Verdad, 2021). La protección de la identidad y la imagen se garantizó mediante acuerdos específicos: algunas mujeres decidieron aparecer plenamente identificadas como acto de denuncia; otras optaron por permanecer anónimas o mostrar únicamente sus manos o objetos significativos. Los archivos audiovisuales y sonoros se almacenan de manera segura y se comparten únicamente con autorización expresa de las participantes.</w:t>
      </w:r>
    </w:p>
    <w:bookmarkEnd w:id="29"/>
    <w:bookmarkStart w:id="33" w:name="diseño-metodológico-por-objetivos"/>
    <w:p>
      <w:pPr>
        <w:pStyle w:val="Heading3"/>
      </w:pPr>
      <w:r>
        <w:t xml:space="preserve">5.2 Diseño metodológico por objetivos</w:t>
      </w:r>
    </w:p>
    <w:bookmarkStart w:id="30" w:name="X477153fe4e86bc39fe0779481b28d453fbfabae"/>
    <w:p>
      <w:pPr>
        <w:pStyle w:val="Heading4"/>
      </w:pPr>
      <w:r>
        <w:t xml:space="preserve">Objetivo 1: Identificar y analizar los relatos de vida, memorias y prácticas artísticas</w:t>
      </w:r>
    </w:p>
    <w:p>
      <w:pPr>
        <w:pStyle w:val="FirstParagraph"/>
      </w:pPr>
      <w:r>
        <w:rPr>
          <w:bCs/>
          <w:b/>
        </w:rPr>
        <w:t xml:space="preserve">Herramientas de recolección:</w:t>
      </w:r>
      <w:r>
        <w:br/>
      </w:r>
      <w:r>
        <w:rPr>
          <w:iCs/>
          <w:i/>
        </w:rPr>
        <w:t xml:space="preserve">Entrevistas en profundidad:</w:t>
      </w:r>
      <w:r>
        <w:t xml:space="preserve"> </w:t>
      </w:r>
      <w:r>
        <w:t xml:space="preserve">Se realizaron entrevistas semiestructuradas con ocho mujeres del Colectivo 82, madres y hermanas de los desaparecidos. Las entrevistas se llevaron a cabo en sus hogares, en los espacios de memoria y en la sede de la organización. Se diseñó un guion flexible que abarcó preguntas sobre el contexto de la desaparición, las estrategias de búsqueda, el significado de los objetos y rituales, y la experiencia de participar en prácticas artísticas. Las conversaciones duraron entre una y tres horas y fueron grabadas en audio y video, respetando los silencios y tiempos de cada participante.</w:t>
      </w:r>
    </w:p>
    <w:p>
      <w:pPr>
        <w:pStyle w:val="BodyText"/>
      </w:pPr>
      <w:r>
        <w:rPr>
          <w:iCs/>
          <w:i/>
        </w:rPr>
        <w:t xml:space="preserve">Observación participante:</w:t>
      </w:r>
      <w:r>
        <w:t xml:space="preserve"> </w:t>
      </w:r>
      <w:r>
        <w:t xml:space="preserve">Se acompañaron los talleres artísticos</w:t>
      </w:r>
      <w:r>
        <w:t xml:space="preserve"> </w:t>
      </w:r>
      <w:r>
        <w:rPr>
          <w:iCs/>
          <w:i/>
        </w:rPr>
        <w:t xml:space="preserve">Entre cenizas e incandescencias</w:t>
      </w:r>
      <w:r>
        <w:t xml:space="preserve"> </w:t>
      </w:r>
      <w:r>
        <w:t xml:space="preserve">durante varios encuentros entre 2022 y 2024. La observación permitió registrar gestos, dinámicas grupales, uso de materiales y emergencias emocionales. Se elaboró un diario de campo con descripciones y reflexiones subjetivas, siguiendo recomendaciones de la etnografía reflexiva (Chavarría‑Zambrano &amp; Camacho, 2018).</w:t>
      </w:r>
    </w:p>
    <w:p>
      <w:pPr>
        <w:pStyle w:val="BodyText"/>
      </w:pPr>
      <w:r>
        <w:rPr>
          <w:iCs/>
          <w:i/>
        </w:rPr>
        <w:t xml:space="preserve">Revisión documental:</w:t>
      </w:r>
      <w:r>
        <w:t xml:space="preserve"> </w:t>
      </w:r>
      <w:r>
        <w:t xml:space="preserve">Se consultaron archivos de prensa, expedientes judiciales, publicaciones académicas y reportajes sobre el Caso 82. Se diseñó una ficha de relatos para sistematizar la información: nombre, fecha de desaparición, edad, profesión, lugar de captura, vínculos familiares, hipótesis y acciones emprendidas. Esta ficha permitió organizar los relatos y seleccionar los casos que se narrarían en los productos finales.</w:t>
      </w:r>
    </w:p>
    <w:p>
      <w:pPr>
        <w:pStyle w:val="BodyText"/>
      </w:pPr>
      <w:r>
        <w:rPr>
          <w:bCs/>
          <w:b/>
        </w:rPr>
        <w:t xml:space="preserve">Procedimiento y análisis:</w:t>
      </w:r>
      <w:r>
        <w:t xml:space="preserve"> </w:t>
      </w:r>
      <w:r>
        <w:t xml:space="preserve">La información recolectada se transcribió y se organizó en matrices de análisis. Se codificaron las entrevistas de manera inductiva para identificar categorías emergentes relacionadas con el duelo, la memoria, la resistencia y el papel del arte. Las observaciones y las fichas de relatos se triangularon con los testimonios para construir un mapa de historias y seleccionar diez relatos centrales que serían abordados en el documental y el podcast. El análisis se realizó desde una perspectiva hermenéutica, reconociendo la subjetividad y la agencia de las participantes (Jelin, 2002).</w:t>
      </w:r>
    </w:p>
    <w:bookmarkEnd w:id="30"/>
    <w:bookmarkStart w:id="31" w:name="X32753643d909b7a82aad01782392560dd39352d"/>
    <w:p>
      <w:pPr>
        <w:pStyle w:val="Heading4"/>
      </w:pPr>
      <w:r>
        <w:t xml:space="preserve">Objetivo 2: Diseñar y realizar el cortometraje documental</w:t>
      </w:r>
    </w:p>
    <w:p>
      <w:pPr>
        <w:pStyle w:val="FirstParagraph"/>
      </w:pPr>
      <w:r>
        <w:rPr>
          <w:bCs/>
          <w:b/>
        </w:rPr>
        <w:t xml:space="preserve">Herramientas y fases:</w:t>
      </w:r>
      <w:r>
        <w:br/>
      </w:r>
      <w:r>
        <w:rPr>
          <w:iCs/>
          <w:i/>
        </w:rPr>
        <w:t xml:space="preserve">Preproducción:</w:t>
      </w:r>
      <w:r>
        <w:t xml:space="preserve"> </w:t>
      </w:r>
      <w:r>
        <w:t xml:space="preserve">Se elaboró un guion documental que organizó las historias seleccionadas en un arco narrativo. Siguiendo a Nichols (2010), el guion se centró en la voz de las mujeres, combinando entrevistas directas con imágenes de las prácticas artísticas y lugares significativos. Se definieron locaciones (talleres, casas familiares, archivos urbanos), se planificaron fechas de rodaje y se estableció un cronograma de producción.</w:t>
      </w:r>
    </w:p>
    <w:p>
      <w:pPr>
        <w:pStyle w:val="BodyText"/>
      </w:pPr>
      <w:r>
        <w:rPr>
          <w:iCs/>
          <w:i/>
        </w:rPr>
        <w:t xml:space="preserve">Producción:</w:t>
      </w:r>
      <w:r>
        <w:t xml:space="preserve"> </w:t>
      </w:r>
      <w:r>
        <w:t xml:space="preserve">La filmación se realizó entre mayo de 2023 y mayo de 2024 con una cámara DSLR y equipo de sonido profesional. Se priorizaron planos cerrados de manos, rostros y objetos, buscando transmitir la intimidad de los gestos y los rituales. El registro incluyó secuencias observacionales de los talleres, entrevistas en plano medio, recorridos por lugares de memoria y escenas urbanas que contextualizan el caso (Nichols, 2010). Se obtuvieron imágenes de archivo de Bogotá en 1982, facilitadas por la Filmoteca Nacional, y se integraron secuencias de prensa televisiva.</w:t>
      </w:r>
    </w:p>
    <w:p>
      <w:pPr>
        <w:pStyle w:val="BodyText"/>
      </w:pPr>
      <w:r>
        <w:rPr>
          <w:iCs/>
          <w:i/>
        </w:rPr>
        <w:t xml:space="preserve">Postproducción:</w:t>
      </w:r>
      <w:r>
        <w:t xml:space="preserve"> </w:t>
      </w:r>
      <w:r>
        <w:t xml:space="preserve">El material se organizó en una línea de tiempo digital. El montaje se guió por una lógica poética: la superposición de testimonios, imágenes y sonidos generó capas de significado que evocan el duelo y la resistencia. El documental tiene una duración de 35 minutos. Se realizaron correcciones de color y etalonaje para lograr una estética cálida y coherente. La banda sonora combina sonidos ambientales registrados en las locaciones con piezas musicales de composición original que refuerzan los estados emocionales.</w:t>
      </w:r>
    </w:p>
    <w:p>
      <w:pPr>
        <w:pStyle w:val="BodyText"/>
      </w:pPr>
      <w:r>
        <w:rPr>
          <w:bCs/>
          <w:b/>
        </w:rPr>
        <w:t xml:space="preserve">Sustento teórico:</w:t>
      </w:r>
      <w:r>
        <w:t xml:space="preserve"> </w:t>
      </w:r>
      <w:r>
        <w:t xml:space="preserve">La estructura del documental se inspira en la propuesta de Bill Nichols (1991) sobre la representación de la realidad, que reconoce que todo documental construye una interpretación y asume una posición ética. También se retoman los aportes de Clemente Feld y José Stites Mor (2009) sobre el uso del documental como herramienta para activar la memoria en América Latina. La estética se articula con las reflexiones de Félix Guattari (1995), quien plantea que el arte permite reorganizar la subjetividad en contextos de trauma.</w:t>
      </w:r>
    </w:p>
    <w:bookmarkEnd w:id="31"/>
    <w:bookmarkStart w:id="32" w:name="Xa377cc595e1add398f9d124132da456e912e5e4"/>
    <w:p>
      <w:pPr>
        <w:pStyle w:val="Heading4"/>
      </w:pPr>
      <w:r>
        <w:t xml:space="preserve">Objetivo 3: Producir la miniserie sonora (podcast)</w:t>
      </w:r>
    </w:p>
    <w:p>
      <w:pPr>
        <w:pStyle w:val="FirstParagraph"/>
      </w:pPr>
      <w:r>
        <w:rPr>
          <w:bCs/>
          <w:b/>
        </w:rPr>
        <w:t xml:space="preserve">Herramientas y fases:</w:t>
      </w:r>
      <w:r>
        <w:br/>
      </w:r>
      <w:r>
        <w:rPr>
          <w:iCs/>
          <w:i/>
        </w:rPr>
        <w:t xml:space="preserve">Guion sonoro:</w:t>
      </w:r>
      <w:r>
        <w:t xml:space="preserve"> </w:t>
      </w:r>
      <w:r>
        <w:t xml:space="preserve">A partir de las entrevistas y observaciones, se elaboró un guion para una miniserie sonora de seis episodios de 15 minutos cada uno. Cada episodio aborda una temática: (1) Historia del Caso 82; (2) La búsqueda: testimonios de madres; (3) Prácticas artísticas y rituales; (4) Memorias de resistencia; (5) La voz y el archivo sonoro; (6) Hacia una memoria colectiva. El guion organiza las voces en una estructura narrativa que combina testimonios, paisajes sonoros y reflexiones.</w:t>
      </w:r>
    </w:p>
    <w:p>
      <w:pPr>
        <w:pStyle w:val="BodyText"/>
      </w:pPr>
      <w:r>
        <w:rPr>
          <w:iCs/>
          <w:i/>
        </w:rPr>
        <w:t xml:space="preserve">Grabación:</w:t>
      </w:r>
      <w:r>
        <w:t xml:space="preserve"> </w:t>
      </w:r>
      <w:r>
        <w:t xml:space="preserve">Se utilizaron micrófonos cardioides para registrar entrevistas en campo y sonido ambiente. El registro sonoro incluyó sonidos de faroles encendidos, talleres de bordado, pasos en las caminatas y respiraciones, siguiendo la idea de que el sonido es un archivo de lo sensible (Sterne, 2003).</w:t>
      </w:r>
    </w:p>
    <w:p>
      <w:pPr>
        <w:pStyle w:val="BodyText"/>
      </w:pPr>
      <w:r>
        <w:rPr>
          <w:iCs/>
          <w:i/>
        </w:rPr>
        <w:t xml:space="preserve">Edición y mezcla:</w:t>
      </w:r>
      <w:r>
        <w:t xml:space="preserve"> </w:t>
      </w:r>
      <w:r>
        <w:t xml:space="preserve">La edición se realizó en software de audio multipista. Se limpiaron ruidos, se ecualizaron voces y se organizó la estructura de cada episodio conforme al guion. Se incorporaron fragmentos de archivo radiofónico y se añadió una ambientación musical sutil. La mezcla buscó preservar la cercanía de las voces y el detalle de los sonidos.</w:t>
      </w:r>
    </w:p>
    <w:p>
      <w:pPr>
        <w:pStyle w:val="BodyText"/>
      </w:pPr>
      <w:r>
        <w:rPr>
          <w:bCs/>
          <w:b/>
        </w:rPr>
        <w:t xml:space="preserve">Sustento teórico:</w:t>
      </w:r>
      <w:r>
        <w:t xml:space="preserve"> </w:t>
      </w:r>
      <w:r>
        <w:t xml:space="preserve">La decisión de trabajar en formato podcast se fundamenta en que la voz y el sonido permiten una conexión íntima con los testimonios. Jonathan Sterne (2003) destaca que el sonido evoca espacios y tiempos, mientras María Tavares (2015) señala que el podcast es un dispositivo que posibilita la construcción de memoria colectiva a partir de narrativas sonoras. La estructura de la serie se inspira en el concepto de archivo sonoro y en la idea de que escuchar es un acto de participación.</w:t>
      </w:r>
    </w:p>
    <w:bookmarkEnd w:id="32"/>
    <w:bookmarkEnd w:id="33"/>
    <w:bookmarkStart w:id="34" w:name="X8a1150a792da42c8d74c36d8dde62515dfebfd3"/>
    <w:p>
      <w:pPr>
        <w:pStyle w:val="Heading3"/>
      </w:pPr>
      <w:r>
        <w:t xml:space="preserve">5.3 Unidad de análisis y criterios de selección</w:t>
      </w:r>
    </w:p>
    <w:p>
      <w:pPr>
        <w:pStyle w:val="FirstParagraph"/>
      </w:pPr>
      <w:r>
        <w:t xml:space="preserve">La unidad de análisis son las prácticas de memoria desarrolladas por las mujeres del Colectivo 82. Se seleccionaron ocho participantes mediante un muestreo intencional, priorizando a madres y hermanas de desaparecidos que hubieran participado en los talleres artísticos</w:t>
      </w:r>
      <w:r>
        <w:t xml:space="preserve"> </w:t>
      </w:r>
      <w:r>
        <w:rPr>
          <w:iCs/>
          <w:i/>
        </w:rPr>
        <w:t xml:space="preserve">Entre cenizas e incandescencias</w:t>
      </w:r>
      <w:r>
        <w:t xml:space="preserve">. Los criterios de inclusión fueron: (a) ser familiar de uno de los trece jóvenes desaparecidos en 1982; (b) participar activamente en las prácticas de memoria; y (c) estar dispuesta a compartir su testimonio en cámara o micrófono. También se incluyeron relatos de tres miembros jóvenes del colectivo que acompañan la búsqueda.</w:t>
      </w:r>
    </w:p>
    <w:bookmarkEnd w:id="34"/>
    <w:bookmarkStart w:id="35" w:name="procedimientos-de-análisis"/>
    <w:p>
      <w:pPr>
        <w:pStyle w:val="Heading3"/>
      </w:pPr>
      <w:r>
        <w:t xml:space="preserve">5.4 Procedimientos de análisis</w:t>
      </w:r>
    </w:p>
    <w:p>
      <w:pPr>
        <w:pStyle w:val="FirstParagraph"/>
      </w:pPr>
      <w:r>
        <w:t xml:space="preserve">Se utilizó análisis temático para identificar patrones en los discursos de las participantes, generando códigos emergentes relacionados con el duelo, la resistencia, el arte y la memoria. Posteriormente se realizó un análisis narrativo para estructurar las historias en el guion documental y en la serie sonora. El análisis de imagen se apoyó en la metodología de montaje asociativo, enfatizando las resonancias simbólicas entre testimonios, objetos y espacios.</w:t>
      </w:r>
    </w:p>
    <w:bookmarkEnd w:id="35"/>
    <w:bookmarkEnd w:id="36"/>
    <w:bookmarkStart w:id="44" w:name="desarrollo-del-proyecto"/>
    <w:p>
      <w:pPr>
        <w:pStyle w:val="Heading2"/>
      </w:pPr>
      <w:r>
        <w:t xml:space="preserve">6. Desarrollo del proyecto</w:t>
      </w:r>
    </w:p>
    <w:p>
      <w:pPr>
        <w:pStyle w:val="FirstParagraph"/>
      </w:pPr>
      <w:r>
        <w:t xml:space="preserve">El desarrollo del proyecto se extendió entre abril de 2022 y septiembre de 2025 e involucró etapas de inmersión en campo, investigación documental, registro audiovisual y sonoro, montaje y socialización. A continuación se describe, de forma narrativa, cada una de estas fases.</w:t>
      </w:r>
    </w:p>
    <w:bookmarkStart w:id="37" w:name="inmersión-y-búsqueda-de-relatos-20222023"/>
    <w:p>
      <w:pPr>
        <w:pStyle w:val="Heading3"/>
      </w:pPr>
      <w:r>
        <w:t xml:space="preserve">6.1 Inmersión y búsqueda de relatos (2022–2023)</w:t>
      </w:r>
    </w:p>
    <w:p>
      <w:pPr>
        <w:pStyle w:val="FirstParagraph"/>
      </w:pPr>
      <w:r>
        <w:t xml:space="preserve">El primer acercamiento al Colectivo 82 se produjo en abril de 2022, a partir de una invitación para acompañar uno de los encuentros conmemorativos en la Universidad Nacional de Colombia. Durante aquel encuentro, varias madres encendieron faroles con los nombres de sus hijos desaparecidos y bordaron pañuelos con fechas y frases que evocan la búsqueda. La presencia de esas luces y la calidez de las voces crearon un ambiente de intimidad que me llevó a proponer una investigación‑creación en la que el arte, la memoria y la comunicación se entrecruzaran.</w:t>
      </w:r>
    </w:p>
    <w:p>
      <w:pPr>
        <w:pStyle w:val="BodyText"/>
      </w:pPr>
      <w:r>
        <w:t xml:space="preserve">Desde mayo de 2022 y a lo largo de un año se realizó una revisión exhaustiva de archivos de prensa, expedientes judiciales y reportajes sobre el Caso 82. Se visitó el Archivo General de la Nación y el Centro de Memoria, Paz y Reconciliación. Se consultaron expedientes del F2 y actas judiciales, identificando fechas, nombres y eventos clave. Para sistematizar la información se diseñó una ficha de relatos con campos como nombre, edad, fecha de desaparición, lugar de detención, vínculos familiares, hipótesis y acciones judiciales. Este instrumento se adjunta como anexo.</w:t>
      </w:r>
    </w:p>
    <w:p>
      <w:pPr>
        <w:pStyle w:val="BodyText"/>
      </w:pPr>
      <w:r>
        <w:t xml:space="preserve">En paralelo se entablaron conversaciones informales con las mujeres buscadoras. Estas conversaciones generaron confianza y permitieron identificar a ocho participantes dispuestas a compartir sus historias. Cada encuentro se documentó en un diario de campo, donde se registraron la atmósfera emocional, las palabras textuales y las propias emociones que surgían durante la escucha. Se llevó a cabo una fase de observación participante en los talleres artísticos</w:t>
      </w:r>
      <w:r>
        <w:t xml:space="preserve"> </w:t>
      </w:r>
      <w:r>
        <w:rPr>
          <w:iCs/>
          <w:i/>
        </w:rPr>
        <w:t xml:space="preserve">Entre cenizas e incandescencias</w:t>
      </w:r>
      <w:r>
        <w:t xml:space="preserve">, que se realizaron periódicamente entre 2022 y 2024 en el</w:t>
      </w:r>
      <w:r>
        <w:t xml:space="preserve"> </w:t>
      </w:r>
      <w:r>
        <w:rPr>
          <w:iCs/>
          <w:i/>
        </w:rPr>
        <w:t xml:space="preserve">Amoratorio de creación</w:t>
      </w:r>
      <w:r>
        <w:t xml:space="preserve"> </w:t>
      </w:r>
      <w:r>
        <w:t xml:space="preserve">de la Red Distrital de Arte y Memoria. Se registraron las técnicas empleadas (bordado, calado en madera, tejido), la simbología de los objetos y las narrativas emergentes.</w:t>
      </w:r>
    </w:p>
    <w:bookmarkEnd w:id="37"/>
    <w:bookmarkStart w:id="38" w:name="X3b7ed6441ab8791a328d5d695c6e1757460242c"/>
    <w:p>
      <w:pPr>
        <w:pStyle w:val="Heading3"/>
      </w:pPr>
      <w:r>
        <w:t xml:space="preserve">6.2 Entrevistas y clasificación de historias (2023–2024)</w:t>
      </w:r>
    </w:p>
    <w:p>
      <w:pPr>
        <w:pStyle w:val="FirstParagraph"/>
      </w:pPr>
      <w:r>
        <w:t xml:space="preserve">Entre marzo y septiembre de 2023 se llevaron a cabo ocho entrevistas en profundidad con las participantes seleccionadas. Cada entrevista fue precedida por reuniones preparatorias en las que se explicó el propósito del proyecto y se abordaron aspectos éticos como la confidencialidad, la posibilidad de detener la grabación y la libertad de no responder preguntas incómodas. El guion de entrevista abordó cinco ejes: (1) contexto familiar y político de 1982; (2) experiencia de la desaparición; (3) estrategias de búsqueda; (4) significado de los objetos y rituales; y (5) sentidos del arte y la memoria.</w:t>
      </w:r>
    </w:p>
    <w:p>
      <w:pPr>
        <w:pStyle w:val="BodyText"/>
      </w:pPr>
      <w:r>
        <w:t xml:space="preserve">Las entrevistas revelaron la diversidad de experiencias y emociones que atraviesan las participantes. Algunas voces enfatizaron la indignación frente a la impunidad; otras, la fuerza del amor que las mantiene en la búsqueda. Todas, sin embargo, coincidieron en el poder reparador del arte. La codificación de las entrevistas permitió identificar categorías comunes: ausencia, duelo suspendido, justicia simbólica, memoria viva, arte como resistencia y sororidad.</w:t>
      </w:r>
    </w:p>
    <w:p>
      <w:pPr>
        <w:pStyle w:val="BodyText"/>
      </w:pPr>
      <w:r>
        <w:t xml:space="preserve">Tras la transcripción y codificación, se seleccionaron diez relatos representativos para el documental y el podcast. La selección consideró la diversidad de edades, roles familiares (madres, hermanas) y prácticas artísticas. Se elaboró un mapa de historias que relaciona cada relato con objetos, lugares y acciones simbólicas. Dicho mapa fue la base del guion audiovisual y sonoro.</w:t>
      </w:r>
    </w:p>
    <w:bookmarkEnd w:id="38"/>
    <w:bookmarkStart w:id="39" w:name="guion-y-preproducción-20232024"/>
    <w:p>
      <w:pPr>
        <w:pStyle w:val="Heading3"/>
      </w:pPr>
      <w:r>
        <w:t xml:space="preserve">6.3 Guion y preproducción (2023–2024)</w:t>
      </w:r>
    </w:p>
    <w:p>
      <w:pPr>
        <w:pStyle w:val="FirstParagraph"/>
      </w:pPr>
      <w:r>
        <w:t xml:space="preserve">El guion del cortometraje documental se construyó a partir del diálogo entre las historias seleccionadas y las imágenes de los talleres y espacios de memoria. La estructura propone un hilo conductor que inicia con la presentación del Caso 82 y las circunstancias de la desaparición; continúa con la irrupción del silencio mediático; avanza hacia la aparición de las prácticas artísticas como formas de búsqueda y resistencia; y culmina con una reflexión sobre la memoria y la esperanza. El guion combina testimonios en primera persona, narración en voz en off, imágenes poéticas y paisajes sonoros que evocan la atmósfera de los rituales.</w:t>
      </w:r>
    </w:p>
    <w:p>
      <w:pPr>
        <w:pStyle w:val="BodyText"/>
      </w:pPr>
      <w:r>
        <w:t xml:space="preserve">La preproducción incluyó la selección de locaciones (Universidad Nacional, casas de las participantes, talleres, espacios públicos), la elaboración de permisos de filmación, la compra y alquiler de equipos (cámaras, micrófonos, luces) y la planificación de cronogramas. Se realizaron reuniones de preparación con las participantes para acordar vestuario, tiempos y límites de grabación. Se diseñó un plan de contingencia en caso de emergencias emocionales durante el rodaje.</w:t>
      </w:r>
    </w:p>
    <w:bookmarkEnd w:id="39"/>
    <w:bookmarkStart w:id="40" w:name="producción-audiovisual-2024"/>
    <w:p>
      <w:pPr>
        <w:pStyle w:val="Heading3"/>
      </w:pPr>
      <w:r>
        <w:t xml:space="preserve">6.4 Producción audiovisual (2024)</w:t>
      </w:r>
    </w:p>
    <w:p>
      <w:pPr>
        <w:pStyle w:val="FirstParagraph"/>
      </w:pPr>
      <w:r>
        <w:t xml:space="preserve">La filmación se llevó a cabo entre febrero y mayo de 2024. Cada jornada de grabación inició con un diálogo en el que se confirmaba la disposición de las participantes y se repetían los acuerdos éticos. Las escenas se filmaron con luz natural cuando fue posible, priorizando la calidez de la imagen. Se utilizaron planos detalle de manos bordando, encendiendo faroles o acariciando fotografías. Se grabaron paisajes urbanos que conectan la memoria de 1982 con el presente, como la Plaza de Bolívar y los pasillos de la Universidad Nacional.</w:t>
      </w:r>
    </w:p>
    <w:p>
      <w:pPr>
        <w:pStyle w:val="BodyText"/>
      </w:pPr>
      <w:r>
        <w:t xml:space="preserve">Paralelamente se realizaron grabaciones de sonido ambiente: el crujir de la madera, el rozar de la tela, susurros y rezos. Estos sonidos se integraron después en la banda sonora. Se grabaron también las sesiones del taller, captando risas, lágrimas y silencios compartidos. Cada escena se registró en diarios de rodaje que describen el contexto, las emociones y las decisiones estéticas.</w:t>
      </w:r>
    </w:p>
    <w:bookmarkEnd w:id="40"/>
    <w:bookmarkStart w:id="41" w:name="producción-sonora-20242025"/>
    <w:p>
      <w:pPr>
        <w:pStyle w:val="Heading3"/>
      </w:pPr>
      <w:r>
        <w:t xml:space="preserve">6.5 Producción sonora (2024–2025)</w:t>
      </w:r>
    </w:p>
    <w:p>
      <w:pPr>
        <w:pStyle w:val="FirstParagraph"/>
      </w:pPr>
      <w:r>
        <w:t xml:space="preserve">Durante el segundo semestre de 2024 se inició la producción de la serie sonora. A partir de la estructura del guion, se seleccionaron fragmentos de entrevistas y se organizaron en un libreto para cada episodio. Se grabaron narraciones en off que contextualizan la historia. Se registraron sonidos específicos (caminatas nocturnas con faroles, costura, rezos) para construir paisajes sonoros.</w:t>
      </w:r>
    </w:p>
    <w:p>
      <w:pPr>
        <w:pStyle w:val="BodyText"/>
      </w:pPr>
      <w:r>
        <w:t xml:space="preserve">La edición se realizó en un estudio de la Universidad del Tolima. Se limpiaron las grabaciones, se ajustaron niveles y se integraron músicas de autoría de compositores locales. Cada episodio se mezcla a 44,1 kHz, buscando preservar la textura de las voces. El resultado es una serie de seis episodios de 15 minutos que se distribuirá a través de plataformas digitales y emisoras comunitarias.</w:t>
      </w:r>
    </w:p>
    <w:bookmarkEnd w:id="41"/>
    <w:bookmarkStart w:id="42" w:name="montaje-y-postproducción-20242025"/>
    <w:p>
      <w:pPr>
        <w:pStyle w:val="Heading3"/>
      </w:pPr>
      <w:r>
        <w:t xml:space="preserve">6.6 Montaje y postproducción (2024–2025)</w:t>
      </w:r>
    </w:p>
    <w:p>
      <w:pPr>
        <w:pStyle w:val="FirstParagraph"/>
      </w:pPr>
      <w:r>
        <w:t xml:space="preserve">El montaje del documental se efectuó entre julio de 2024 y enero de 2025. Se trabajó con un software de edición profesional. El primer corte fue proyectado a las participantes, quienes realizaron comentarios y solicitaron ajustes. Se redujo la duración de ciertas escenas para evitar repeticiones y se agregó un epílogo que muestra imágenes de los jóvenes desaparecidos. El color se ajustó hacia tonos sepias y dorados, evocando la memoria y el fuego.</w:t>
      </w:r>
    </w:p>
    <w:p>
      <w:pPr>
        <w:pStyle w:val="BodyText"/>
      </w:pPr>
      <w:r>
        <w:t xml:space="preserve">La postproducción del podcast coincidió con el montaje, permitiendo retroalimentación entre ambos productos. Algunas escenas audiovisuales inspiraron el diseño sonoro de los episodios, y algunas secuencias del podcast fueron incorporadas como voz en off en el documental. Esta retroalimentación permitió coherencia estética y narrativa entre los productos.</w:t>
      </w:r>
    </w:p>
    <w:bookmarkEnd w:id="42"/>
    <w:bookmarkStart w:id="43" w:name="socialización-y-apropiación-2025"/>
    <w:p>
      <w:pPr>
        <w:pStyle w:val="Heading3"/>
      </w:pPr>
      <w:r>
        <w:t xml:space="preserve">6.7 Socialización y apropiación (2025)</w:t>
      </w:r>
    </w:p>
    <w:p>
      <w:pPr>
        <w:pStyle w:val="FirstParagraph"/>
      </w:pPr>
      <w:r>
        <w:t xml:space="preserve">En abril de 2025 se realizó la socialización interna del documental y la serie sonora en un encuentro con las participantes. Se discutió el significado de las obras y se evaluó el impacto emocional. En julio de 2025 se organizó una proyección pública en la Universidad del Tolima, acompañada de un conversatorio sobre memoria y desaparición forzada. Se planea presentar el documental en festivales de cine documental y difundir la serie sonora en emisoras comunitarias y plataformas digitales. La difusión se acompañará de un kit pedagógico para instituciones educativas, con el fin de fortalecer la apropiación social de la memoria.</w:t>
      </w:r>
    </w:p>
    <w:bookmarkEnd w:id="43"/>
    <w:bookmarkEnd w:id="44"/>
    <w:bookmarkStart w:id="48" w:name="resultados"/>
    <w:p>
      <w:pPr>
        <w:pStyle w:val="Heading2"/>
      </w:pPr>
      <w:r>
        <w:t xml:space="preserve">7. Resultados</w:t>
      </w:r>
    </w:p>
    <w:bookmarkStart w:id="45" w:name="documental-no-volvieron-a-casa"/>
    <w:p>
      <w:pPr>
        <w:pStyle w:val="Heading3"/>
      </w:pPr>
      <w:r>
        <w:t xml:space="preserve">7.1 Documental</w:t>
      </w:r>
      <w:r>
        <w:t xml:space="preserve"> </w:t>
      </w:r>
      <w:r>
        <w:rPr>
          <w:iCs/>
          <w:i/>
        </w:rPr>
        <w:t xml:space="preserve">No volvieron a casa</w:t>
      </w:r>
    </w:p>
    <w:p>
      <w:pPr>
        <w:pStyle w:val="FirstParagraph"/>
      </w:pPr>
      <w:r>
        <w:rPr>
          <w:bCs/>
          <w:b/>
        </w:rPr>
        <w:t xml:space="preserve">Sinopsis:</w:t>
      </w:r>
      <w:r>
        <w:br/>
      </w:r>
      <w:r>
        <w:t xml:space="preserve">El cortometraje de 35 minutos sigue las huellas de las madres y hermanas del Caso 82 mientras convierten el duelo en acción artística. A través de los talleres</w:t>
      </w:r>
      <w:r>
        <w:t xml:space="preserve"> </w:t>
      </w:r>
      <w:r>
        <w:rPr>
          <w:iCs/>
          <w:i/>
        </w:rPr>
        <w:t xml:space="preserve">Entre cenizas e incandescencias</w:t>
      </w:r>
      <w:r>
        <w:t xml:space="preserve">, la película muestra cómo encienden faroles, bordan nombres y construyen altares con fotografías. Los testimonios revelan la persistencia del dolor, la indignación ante la impunidad y el poder reparador del arte. El documental interroga el silencio institucional y mediático y propone una memoria que se alimenta de la creación colectiva.</w:t>
      </w:r>
    </w:p>
    <w:p>
      <w:pPr>
        <w:pStyle w:val="BodyText"/>
      </w:pPr>
      <w:r>
        <w:rPr>
          <w:bCs/>
          <w:b/>
        </w:rPr>
        <w:t xml:space="preserve">Evidencias:</w:t>
      </w:r>
      <w:r>
        <w:br/>
      </w:r>
      <w:r>
        <w:t xml:space="preserve">- Captura de pantalla del plano final donde las mujeres caminan juntas con faroles encendidos.</w:t>
      </w:r>
      <w:r>
        <w:br/>
      </w:r>
      <w:r>
        <w:t xml:space="preserve">- Fotografía del equipo de rodaje junto a las participantes en la Universidad Nacional.</w:t>
      </w:r>
      <w:r>
        <w:br/>
      </w:r>
      <w:r>
        <w:t xml:space="preserve">- Copia del guion audiovisual (anexo 1).</w:t>
      </w:r>
      <w:r>
        <w:br/>
      </w:r>
      <w:r>
        <w:t xml:space="preserve">- Link de acceso (en preparación) al documental alojado en la página de la Universidad del Tolima.</w:t>
      </w:r>
    </w:p>
    <w:bookmarkEnd w:id="45"/>
    <w:bookmarkStart w:id="46" w:name="miniserie-sonora-no-volvieron-a-casa"/>
    <w:p>
      <w:pPr>
        <w:pStyle w:val="Heading3"/>
      </w:pPr>
      <w:r>
        <w:t xml:space="preserve">7.2 Miniserie sonora</w:t>
      </w:r>
      <w:r>
        <w:t xml:space="preserve"> </w:t>
      </w:r>
      <w:r>
        <w:rPr>
          <w:iCs/>
          <w:i/>
        </w:rPr>
        <w:t xml:space="preserve">No volvieron a casa</w:t>
      </w:r>
    </w:p>
    <w:p>
      <w:pPr>
        <w:pStyle w:val="FirstParagraph"/>
      </w:pPr>
      <w:r>
        <w:rPr>
          <w:bCs/>
          <w:b/>
        </w:rPr>
        <w:t xml:space="preserve">Descripción de episodios:</w:t>
      </w:r>
      <w:r>
        <w:br/>
      </w:r>
      <w:r>
        <w:t xml:space="preserve">1.</w:t>
      </w:r>
      <w:r>
        <w:t xml:space="preserve"> </w:t>
      </w:r>
      <w:r>
        <w:rPr>
          <w:bCs/>
          <w:b/>
        </w:rPr>
        <w:t xml:space="preserve">Historias de un caso</w:t>
      </w:r>
      <w:r>
        <w:t xml:space="preserve">: reconstruye los hechos del Caso 82 con testimonios, archivos y análisis históricos.</w:t>
      </w:r>
      <w:r>
        <w:br/>
      </w:r>
      <w:r>
        <w:t xml:space="preserve">2.</w:t>
      </w:r>
      <w:r>
        <w:t xml:space="preserve"> </w:t>
      </w:r>
      <w:r>
        <w:rPr>
          <w:bCs/>
          <w:b/>
        </w:rPr>
        <w:t xml:space="preserve">La búsqueda y la espera</w:t>
      </w:r>
      <w:r>
        <w:t xml:space="preserve">: relata las estrategias de búsqueda y la vida cotidiana de las madres.</w:t>
      </w:r>
      <w:r>
        <w:br/>
      </w:r>
      <w:r>
        <w:t xml:space="preserve">3.</w:t>
      </w:r>
      <w:r>
        <w:t xml:space="preserve"> </w:t>
      </w:r>
      <w:r>
        <w:rPr>
          <w:bCs/>
          <w:b/>
        </w:rPr>
        <w:t xml:space="preserve">Arte y memoria</w:t>
      </w:r>
      <w:r>
        <w:t xml:space="preserve">: explora la práctica de los faroles, los bordados y otros objetos.</w:t>
      </w:r>
      <w:r>
        <w:br/>
      </w:r>
      <w:r>
        <w:t xml:space="preserve">4.</w:t>
      </w:r>
      <w:r>
        <w:t xml:space="preserve"> </w:t>
      </w:r>
      <w:r>
        <w:rPr>
          <w:bCs/>
          <w:b/>
        </w:rPr>
        <w:t xml:space="preserve">Resistencia y sororidad</w:t>
      </w:r>
      <w:r>
        <w:t xml:space="preserve">: reflexiona sobre la fuerza colectiva de las mujeres y su dimensión política.</w:t>
      </w:r>
      <w:r>
        <w:br/>
      </w:r>
      <w:r>
        <w:t xml:space="preserve">5.</w:t>
      </w:r>
      <w:r>
        <w:t xml:space="preserve"> </w:t>
      </w:r>
      <w:r>
        <w:rPr>
          <w:bCs/>
          <w:b/>
        </w:rPr>
        <w:t xml:space="preserve">Voces y sonidos de la memoria</w:t>
      </w:r>
      <w:r>
        <w:t xml:space="preserve">: destaca la importancia de la voz, los sonidos y el paisaje sonoro como archivo sensible.</w:t>
      </w:r>
      <w:r>
        <w:br/>
      </w:r>
      <w:r>
        <w:t xml:space="preserve">6.</w:t>
      </w:r>
      <w:r>
        <w:t xml:space="preserve"> </w:t>
      </w:r>
      <w:r>
        <w:rPr>
          <w:bCs/>
          <w:b/>
        </w:rPr>
        <w:t xml:space="preserve">Hacia una memoria colectiva</w:t>
      </w:r>
      <w:r>
        <w:t xml:space="preserve">: propone caminos para la justicia simbólica y la reparación.</w:t>
      </w:r>
    </w:p>
    <w:p>
      <w:pPr>
        <w:pStyle w:val="BodyText"/>
      </w:pPr>
      <w:r>
        <w:rPr>
          <w:bCs/>
          <w:b/>
        </w:rPr>
        <w:t xml:space="preserve">Evidencias:</w:t>
      </w:r>
      <w:r>
        <w:br/>
      </w:r>
      <w:r>
        <w:t xml:space="preserve">- Guion de la serie sonora (anexo 2).</w:t>
      </w:r>
      <w:r>
        <w:br/>
      </w:r>
      <w:r>
        <w:t xml:space="preserve">- Capturas de pantalla del software de edición de audio.</w:t>
      </w:r>
      <w:r>
        <w:br/>
      </w:r>
      <w:r>
        <w:t xml:space="preserve">- Link de descarga de los seis episodios alojados en repositorios de audio.</w:t>
      </w:r>
    </w:p>
    <w:bookmarkEnd w:id="46"/>
    <w:bookmarkStart w:id="47" w:name="otros-resultados"/>
    <w:p>
      <w:pPr>
        <w:pStyle w:val="Heading3"/>
      </w:pPr>
      <w:r>
        <w:t xml:space="preserve">7.3 Otros resultados</w:t>
      </w:r>
    </w:p>
    <w:p>
      <w:pPr>
        <w:numPr>
          <w:ilvl w:val="0"/>
          <w:numId w:val="1002"/>
        </w:numPr>
      </w:pPr>
      <w:r>
        <w:rPr>
          <w:bCs/>
          <w:b/>
        </w:rPr>
        <w:t xml:space="preserve">Base de datos de relatos:</w:t>
      </w:r>
      <w:r>
        <w:br/>
      </w:r>
      <w:r>
        <w:t xml:space="preserve">Tabla con 13 registros (uno por desaparecido), que contiene datos de identidad, fechas, vínculos familiares y acciones de búsqueda. Esta base de datos alimenta tanto el documental como la serie sonora.</w:t>
      </w:r>
    </w:p>
    <w:p>
      <w:pPr>
        <w:numPr>
          <w:ilvl w:val="0"/>
          <w:numId w:val="1002"/>
        </w:numPr>
      </w:pPr>
      <w:r>
        <w:rPr>
          <w:bCs/>
          <w:b/>
        </w:rPr>
        <w:t xml:space="preserve">Fichas de entrevistas:</w:t>
      </w:r>
      <w:r>
        <w:br/>
      </w:r>
      <w:r>
        <w:t xml:space="preserve">Documentos que incluyen el guion, notas de campo y transcripciones de las ocho entrevistas. Se adjuntan fragmentos en anexos.</w:t>
      </w:r>
    </w:p>
    <w:p>
      <w:pPr>
        <w:numPr>
          <w:ilvl w:val="0"/>
          <w:numId w:val="1002"/>
        </w:numPr>
      </w:pPr>
      <w:r>
        <w:rPr>
          <w:bCs/>
          <w:b/>
        </w:rPr>
        <w:t xml:space="preserve">Material fotográfico y audiovisual:</w:t>
      </w:r>
      <w:r>
        <w:br/>
      </w:r>
      <w:r>
        <w:t xml:space="preserve">Archivo digital que reúne fotografías de los talleres, retratos de las mujeres buscadoras, imágenes de archivo de 1982 y capturas del proceso de rodaje.</w:t>
      </w:r>
    </w:p>
    <w:p>
      <w:pPr>
        <w:numPr>
          <w:ilvl w:val="0"/>
          <w:numId w:val="1002"/>
        </w:numPr>
      </w:pPr>
      <w:r>
        <w:rPr>
          <w:bCs/>
          <w:b/>
        </w:rPr>
        <w:t xml:space="preserve">Kit pedagógico:</w:t>
      </w:r>
      <w:r>
        <w:br/>
      </w:r>
      <w:r>
        <w:t xml:space="preserve">Material de apoyo para instituciones educativas con actividades para reflexionar sobre desaparición forzada y memoria, basado en el documental y la serie sonora.</w:t>
      </w:r>
    </w:p>
    <w:bookmarkEnd w:id="47"/>
    <w:bookmarkEnd w:id="48"/>
    <w:bookmarkStart w:id="49" w:name="conclusiones"/>
    <w:p>
      <w:pPr>
        <w:pStyle w:val="Heading2"/>
      </w:pPr>
      <w:r>
        <w:t xml:space="preserve">8. Conclusiones</w:t>
      </w:r>
    </w:p>
    <w:p>
      <w:pPr>
        <w:pStyle w:val="FirstParagraph"/>
      </w:pPr>
      <w:r>
        <w:rPr>
          <w:bCs/>
          <w:b/>
        </w:rPr>
        <w:t xml:space="preserve">Conclusión 1 – Relatos y memoria:</w:t>
      </w:r>
      <w:r>
        <w:t xml:space="preserve"> </w:t>
      </w:r>
      <w:r>
        <w:t xml:space="preserve">El análisis de las historias de las mujeres buscadoras demuestra que la desaparición forzada no solo es un hecho del pasado, sino una herida abierta que se reproduce en la vida cotidiana. Los objetos y rituales —faroles, pañuelos, altares— funcionan como dispositivos de memoria que permiten traer a la presencia a los ausentes y construir sentidos colectivos (Jelin, 2002). La ausencia del Estado y de los medios ha obligado a las familias a convertirse en archivistas de su propia historia.</w:t>
      </w:r>
    </w:p>
    <w:p>
      <w:pPr>
        <w:pStyle w:val="BodyText"/>
      </w:pPr>
      <w:r>
        <w:rPr>
          <w:bCs/>
          <w:b/>
        </w:rPr>
        <w:t xml:space="preserve">Conclusión 2 – Documental:</w:t>
      </w:r>
      <w:r>
        <w:t xml:space="preserve"> </w:t>
      </w:r>
      <w:r>
        <w:t xml:space="preserve">La realización del cortometraje mostró que el lenguaje audiovisual posibilita una representación ética de la memoria cuando se privilegia la voz de las participantes y se construyen imágenes respetuosas. El documental no pretende cerrar el duelo ni ofrecer respuestas, sino acompañar la búsqueda y proponer una mirada sensible. El montaje asociativo, inspirado en las reflexiones de Nichols (2010) and Guattari (1995), permitió evocar el duelo sin caer en la espectacularización del sufrimiento.</w:t>
      </w:r>
    </w:p>
    <w:p>
      <w:pPr>
        <w:pStyle w:val="BodyText"/>
      </w:pPr>
      <w:r>
        <w:rPr>
          <w:bCs/>
          <w:b/>
        </w:rPr>
        <w:t xml:space="preserve">Conclusión 3 – Serie sonora:</w:t>
      </w:r>
      <w:r>
        <w:t xml:space="preserve"> </w:t>
      </w:r>
      <w:r>
        <w:t xml:space="preserve">El podcast evidenció la potencia de la voz para transmitir emociones y construir intimidad. La serie permitió que las mujeres compartieran sus historias de manera pausada y reflexiva, generando un espacio de escucha activa. La estructura episódica facilitó abordar diferentes dimensiones del Caso 82 y ofreció un recurso accesible para comunidades que no siempre tienen acceso a proyecciones audiovisuales.</w:t>
      </w:r>
    </w:p>
    <w:p>
      <w:pPr>
        <w:pStyle w:val="BodyText"/>
      </w:pPr>
      <w:r>
        <w:rPr>
          <w:bCs/>
          <w:b/>
        </w:rPr>
        <w:t xml:space="preserve">Conclusión general:</w:t>
      </w:r>
      <w:r>
        <w:t xml:space="preserve"> </w:t>
      </w:r>
      <w:r>
        <w:t xml:space="preserve">La investigación‑creación desarrollada con las mujeres buscadoras del Caso Colectivo 82 demuestra que el arte es una forma de resistencia y de reparación simbólica. A través del documental y el podcast se logró visibilizar un episodio poco conocido, generar un archivo sensible y fortalecer la memoria colectiva. El trabajo evidencia la necesidad de que la academia y el periodismo ético acompañen procesos de memoria de manera respetuosa, reconociendo la agencia de las víctimas y contribuyendo a una cultura de verdad, justicia y no repetición. Queda como desafío que estas narrativas circulen ampliamente y que la sociedad asuma la desaparición forzada como una deuda pendiente.</w:t>
      </w:r>
    </w:p>
    <w:bookmarkEnd w:id="49"/>
    <w:bookmarkStart w:id="50" w:name="aspectos-bioéticos"/>
    <w:p>
      <w:pPr>
        <w:pStyle w:val="Heading2"/>
      </w:pPr>
      <w:r>
        <w:t xml:space="preserve">9. Aspectos bioéticos</w:t>
      </w:r>
    </w:p>
    <w:p>
      <w:pPr>
        <w:pStyle w:val="FirstParagraph"/>
      </w:pPr>
      <w:r>
        <w:t xml:space="preserve">Los aspectos bioéticos fueron transversales durante toda la investigación‑creación. Se respetaron los principios de respeto, beneficencia, no maleficencia, justicia, autonomía y confidencialidad. La participación de las mujeres fue voluntaria y se implementó un consentimiento informado continuo, que incluyó explicaciones claras sobre los objetivos, los posibles riesgos emocionales y el uso de imágenes y sonidos. Cada participante pudo retirar su consentimiento en cualquier momento sin consecuencias negativas.</w:t>
      </w:r>
    </w:p>
    <w:p>
      <w:pPr>
        <w:pStyle w:val="BodyText"/>
      </w:pPr>
      <w:r>
        <w:t xml:space="preserve">Para evitar la revictimización, las entrevistas y grabaciones se realizaron con una metodología de escucha sensible, respetando silencios y límites narrativos. Antes y después de cada sesión se ofrecieron espacios de acompañamiento emocional. La identidad se protegió mediante acuerdos específicos sobre la exposición de rostros y nombres. Los archivos audiovisuales y sonoros se almacenan de manera segura y solo se comparten con autorización expresa. La difusión del documental y del podcast se planificó con las participantes, quienes decidieron las plataformas y los espacios de exhibición.</w:t>
      </w:r>
    </w:p>
    <w:p>
      <w:pPr>
        <w:pStyle w:val="BodyText"/>
      </w:pPr>
      <w:r>
        <w:t xml:space="preserve">Desde la perspectiva del investigador, se mantuvo una reflexión constante sobre la posición de enunciación y el poder que implica narrar el dolor ajeno. Se evitó la instrumentalización de las historias y se apostó por una relación horizontal basada en el respeto y el cuidado. Se tomaron precauciones para no exponer datos sensibles que pudieran poner en riesgo a las participantes o afectar procesos legales. En caso de que la investigación‑creación pudiera generar malestar, se contempló la suspensión parcial o total de la participación. De esta manera, el proyecto se enmarca en una ética del cuidado y la dignidad, coherente con las recomendaciones de la Comisión de la Verdad (2021) y las normas nacionales sobre investigación con seres humanos.</w:t>
      </w:r>
    </w:p>
    <w:bookmarkEnd w:id="50"/>
    <w:bookmarkStart w:id="51" w:name="cronograma"/>
    <w:p>
      <w:pPr>
        <w:pStyle w:val="Heading2"/>
      </w:pPr>
      <w:r>
        <w:t xml:space="preserve">10. Cronograma</w:t>
      </w:r>
    </w:p>
    <w:p>
      <w:pPr>
        <w:pStyle w:val="FirstParagraph"/>
      </w:pPr>
      <w:r>
        <w:t xml:space="preserve">El siguiente cronograma expresa la secuencia de actividades realizada entre abril de 2022 y septiembre de 2025. Cada</w:t>
      </w:r>
      <w:r>
        <w:t xml:space="preserve"> </w:t>
      </w:r>
      <w:r>
        <w:t xml:space="preserve">“</w:t>
      </w:r>
      <w:r>
        <w:t xml:space="preserve">X</w:t>
      </w:r>
      <w:r>
        <w:t xml:space="preserve">”</w:t>
      </w:r>
      <w:r>
        <w:t xml:space="preserve"> </w:t>
      </w:r>
      <w:r>
        <w:t xml:space="preserve">indica los meses en los que se ejecutó la actividad:</w:t>
      </w:r>
    </w:p>
    <w:tbl>
      <w:tblPr>
        <w:tblStyle w:val="Table"/>
        <w:tblW w:type="pct" w:w="5000"/>
        <w:tblLook w:firstRow="1" w:lastRow="0" w:firstColumn="0" w:lastColumn="0" w:noHBand="0" w:noVBand="0" w:val="002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rPr>
          <w:tblHeader w:val="true"/>
        </w:trPr>
        <w:tc>
          <w:tcPr/>
          <w:p>
            <w:pPr>
              <w:pStyle w:val="Compact"/>
              <w:jc w:val="left"/>
            </w:pPr>
            <w:r>
              <w:rPr>
                <w:bCs/>
                <w:b/>
              </w:rPr>
              <w:t xml:space="preserve">Actividad</w:t>
            </w:r>
          </w:p>
        </w:tc>
        <w:tc>
          <w:tcPr/>
          <w:p>
            <w:pPr>
              <w:pStyle w:val="Compact"/>
              <w:jc w:val="left"/>
            </w:pPr>
            <w:r>
              <w:rPr>
                <w:bCs/>
                <w:b/>
              </w:rPr>
              <w:t xml:space="preserve">1</w:t>
            </w:r>
          </w:p>
        </w:tc>
        <w:tc>
          <w:tcPr/>
          <w:p>
            <w:pPr>
              <w:pStyle w:val="Compact"/>
              <w:jc w:val="left"/>
            </w:pPr>
            <w:r>
              <w:rPr>
                <w:bCs/>
                <w:b/>
              </w:rPr>
              <w:t xml:space="preserve">2</w:t>
            </w:r>
          </w:p>
        </w:tc>
        <w:tc>
          <w:tcPr/>
          <w:p>
            <w:pPr>
              <w:pStyle w:val="Compact"/>
              <w:jc w:val="left"/>
            </w:pPr>
            <w:r>
              <w:rPr>
                <w:bCs/>
                <w:b/>
              </w:rPr>
              <w:t xml:space="preserve">3</w:t>
            </w:r>
          </w:p>
        </w:tc>
        <w:tc>
          <w:tcPr/>
          <w:p>
            <w:pPr>
              <w:pStyle w:val="Compact"/>
              <w:jc w:val="left"/>
            </w:pPr>
            <w:r>
              <w:rPr>
                <w:bCs/>
                <w:b/>
              </w:rPr>
              <w:t xml:space="preserve">4</w:t>
            </w:r>
          </w:p>
        </w:tc>
        <w:tc>
          <w:tcPr/>
          <w:p>
            <w:pPr>
              <w:pStyle w:val="Compact"/>
              <w:jc w:val="left"/>
            </w:pPr>
            <w:r>
              <w:rPr>
                <w:bCs/>
                <w:b/>
              </w:rPr>
              <w:t xml:space="preserve">5</w:t>
            </w:r>
          </w:p>
        </w:tc>
        <w:tc>
          <w:tcPr/>
          <w:p>
            <w:pPr>
              <w:pStyle w:val="Compact"/>
              <w:jc w:val="left"/>
            </w:pPr>
            <w:r>
              <w:rPr>
                <w:bCs/>
                <w:b/>
              </w:rPr>
              <w:t xml:space="preserve">6</w:t>
            </w:r>
          </w:p>
        </w:tc>
        <w:tc>
          <w:tcPr/>
          <w:p>
            <w:pPr>
              <w:pStyle w:val="Compact"/>
              <w:jc w:val="left"/>
            </w:pPr>
            <w:r>
              <w:rPr>
                <w:bCs/>
                <w:b/>
              </w:rPr>
              <w:t xml:space="preserve">7</w:t>
            </w:r>
          </w:p>
        </w:tc>
        <w:tc>
          <w:tcPr/>
          <w:p>
            <w:pPr>
              <w:pStyle w:val="Compact"/>
              <w:jc w:val="left"/>
            </w:pPr>
            <w:r>
              <w:rPr>
                <w:bCs/>
                <w:b/>
              </w:rPr>
              <w:t xml:space="preserve">8</w:t>
            </w:r>
          </w:p>
        </w:tc>
        <w:tc>
          <w:tcPr/>
          <w:p>
            <w:pPr>
              <w:pStyle w:val="Compact"/>
              <w:jc w:val="left"/>
            </w:pPr>
            <w:r>
              <w:rPr>
                <w:bCs/>
                <w:b/>
              </w:rPr>
              <w:t xml:space="preserve">9</w:t>
            </w:r>
          </w:p>
        </w:tc>
        <w:tc>
          <w:tcPr/>
          <w:p>
            <w:pPr>
              <w:pStyle w:val="Compact"/>
              <w:jc w:val="left"/>
            </w:pPr>
            <w:r>
              <w:rPr>
                <w:bCs/>
                <w:b/>
              </w:rPr>
              <w:t xml:space="preserve">10</w:t>
            </w:r>
          </w:p>
        </w:tc>
        <w:tc>
          <w:tcPr/>
          <w:p>
            <w:pPr>
              <w:pStyle w:val="Compact"/>
              <w:jc w:val="left"/>
            </w:pPr>
            <w:r>
              <w:rPr>
                <w:bCs/>
                <w:b/>
              </w:rPr>
              <w:t xml:space="preserve">11</w:t>
            </w:r>
          </w:p>
        </w:tc>
        <w:tc>
          <w:tcPr/>
          <w:p>
            <w:pPr>
              <w:pStyle w:val="Compact"/>
              <w:jc w:val="left"/>
            </w:pPr>
            <w:r>
              <w:rPr>
                <w:bCs/>
                <w:b/>
              </w:rPr>
              <w:t xml:space="preserve">12</w:t>
            </w:r>
          </w:p>
        </w:tc>
        <w:tc>
          <w:tcPr/>
          <w:p>
            <w:pPr>
              <w:pStyle w:val="Compact"/>
              <w:jc w:val="left"/>
            </w:pPr>
            <w:r>
              <w:rPr>
                <w:bCs/>
                <w:b/>
              </w:rPr>
              <w:t xml:space="preserve">13</w:t>
            </w:r>
          </w:p>
        </w:tc>
        <w:tc>
          <w:tcPr/>
          <w:p>
            <w:pPr>
              <w:pStyle w:val="Compact"/>
              <w:jc w:val="left"/>
            </w:pPr>
            <w:r>
              <w:rPr>
                <w:bCs/>
                <w:b/>
              </w:rPr>
              <w:t xml:space="preserve">14</w:t>
            </w:r>
          </w:p>
        </w:tc>
        <w:tc>
          <w:tcPr/>
          <w:p>
            <w:pPr>
              <w:pStyle w:val="Compact"/>
              <w:jc w:val="left"/>
            </w:pPr>
            <w:r>
              <w:rPr>
                <w:bCs/>
                <w:b/>
              </w:rPr>
              <w:t xml:space="preserve">15</w:t>
            </w:r>
          </w:p>
        </w:tc>
        <w:tc>
          <w:tcPr/>
          <w:p>
            <w:pPr>
              <w:pStyle w:val="Compact"/>
              <w:jc w:val="left"/>
            </w:pPr>
            <w:r>
              <w:rPr>
                <w:bCs/>
                <w:b/>
              </w:rPr>
              <w:t xml:space="preserve">16</w:t>
            </w:r>
          </w:p>
        </w:tc>
        <w:tc>
          <w:tcPr/>
          <w:p>
            <w:pPr>
              <w:pStyle w:val="Compact"/>
              <w:jc w:val="left"/>
            </w:pPr>
            <w:r>
              <w:rPr>
                <w:bCs/>
                <w:b/>
              </w:rPr>
              <w:t xml:space="preserve">17</w:t>
            </w:r>
          </w:p>
        </w:tc>
        <w:tc>
          <w:tcPr/>
          <w:p>
            <w:pPr>
              <w:pStyle w:val="Compact"/>
              <w:jc w:val="left"/>
            </w:pPr>
            <w:r>
              <w:rPr>
                <w:bCs/>
                <w:b/>
              </w:rPr>
              <w:t xml:space="preserve">18</w:t>
            </w:r>
          </w:p>
        </w:tc>
        <w:tc>
          <w:tcPr/>
          <w:p>
            <w:pPr>
              <w:pStyle w:val="Compact"/>
              <w:jc w:val="left"/>
            </w:pPr>
            <w:r>
              <w:rPr>
                <w:bCs/>
                <w:b/>
              </w:rPr>
              <w:t xml:space="preserve">19</w:t>
            </w:r>
          </w:p>
        </w:tc>
        <w:tc>
          <w:tcPr/>
          <w:p>
            <w:pPr>
              <w:pStyle w:val="Compact"/>
              <w:jc w:val="left"/>
            </w:pPr>
            <w:r>
              <w:rPr>
                <w:bCs/>
                <w:b/>
              </w:rPr>
              <w:t xml:space="preserve">20</w:t>
            </w:r>
          </w:p>
        </w:tc>
        <w:tc>
          <w:tcPr/>
          <w:p>
            <w:pPr>
              <w:pStyle w:val="Compact"/>
              <w:jc w:val="left"/>
            </w:pPr>
            <w:r>
              <w:rPr>
                <w:bCs/>
                <w:b/>
              </w:rPr>
              <w:t xml:space="preserve">21</w:t>
            </w:r>
          </w:p>
        </w:tc>
        <w:tc>
          <w:tcPr/>
          <w:p>
            <w:pPr>
              <w:pStyle w:val="Compact"/>
              <w:jc w:val="left"/>
            </w:pPr>
            <w:r>
              <w:rPr>
                <w:bCs/>
                <w:b/>
              </w:rPr>
              <w:t xml:space="preserve">22</w:t>
            </w:r>
          </w:p>
        </w:tc>
        <w:tc>
          <w:tcPr/>
          <w:p>
            <w:pPr>
              <w:pStyle w:val="Compact"/>
              <w:jc w:val="left"/>
            </w:pPr>
            <w:r>
              <w:rPr>
                <w:bCs/>
                <w:b/>
              </w:rPr>
              <w:t xml:space="preserve">23</w:t>
            </w:r>
          </w:p>
        </w:tc>
        <w:tc>
          <w:tcPr/>
          <w:p>
            <w:pPr>
              <w:pStyle w:val="Compact"/>
              <w:jc w:val="left"/>
            </w:pPr>
            <w:r>
              <w:rPr>
                <w:bCs/>
                <w:b/>
              </w:rPr>
              <w:t xml:space="preserve">24</w:t>
            </w:r>
          </w:p>
        </w:tc>
      </w:tr>
      <w:tr>
        <w:tc>
          <w:tcPr/>
          <w:p>
            <w:pPr>
              <w:pStyle w:val="Compact"/>
              <w:jc w:val="left"/>
            </w:pPr>
            <w:r>
              <w:t xml:space="preserve">Revisión bibliográfica y documental</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Inmersión y observación participante</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Entrevistas a participantes</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Clasificación de relatos y análisis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Guion y preproducción documental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Rodaje documental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Preproducción podcast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Grabación y edición podcast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Montaje y postproducción documental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Revisión y socialización interna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Difusión y socialización pública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Redacción y entrega del informe final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Evaluación académica y cierre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r>
    </w:tbl>
    <w:bookmarkEnd w:id="51"/>
    <w:bookmarkStart w:id="52" w:name="bibliografía"/>
    <w:p>
      <w:pPr>
        <w:pStyle w:val="Heading2"/>
      </w:pPr>
      <w:r>
        <w:t xml:space="preserve">Bibliografía</w:t>
      </w:r>
    </w:p>
    <w:p>
      <w:pPr>
        <w:pStyle w:val="FirstParagraph"/>
      </w:pPr>
      <w:r>
        <w:t xml:space="preserve">Acuña, L. G. (2009). El cine documental como herramienta en la construcción de la memoria y el pasado reciente.</w:t>
      </w:r>
      <w:r>
        <w:t xml:space="preserve"> </w:t>
      </w:r>
      <w:r>
        <w:rPr>
          <w:iCs/>
          <w:i/>
        </w:rPr>
        <w:t xml:space="preserve">Clío &amp; Asociados</w:t>
      </w:r>
      <w:r>
        <w:t xml:space="preserve">, (13), 61–68.</w:t>
      </w:r>
    </w:p>
    <w:p>
      <w:pPr>
        <w:pStyle w:val="BodyText"/>
      </w:pPr>
      <w:r>
        <w:t xml:space="preserve">Agencia de Noticias Universidad Distrital. (2022, 14 de diciembre).</w:t>
      </w:r>
      <w:r>
        <w:t xml:space="preserve"> </w:t>
      </w:r>
      <w:r>
        <w:rPr>
          <w:iCs/>
          <w:i/>
        </w:rPr>
        <w:t xml:space="preserve">Caso Colectivo 82: 40 años de impunidad buscándoles por verdad y justicia.</w:t>
      </w:r>
      <w:r>
        <w:t xml:space="preserve"> </w:t>
      </w:r>
      <w:r>
        <w:t xml:space="preserve">https://agencia.udistrital.edu.co/noticia/caso-colectivo-82-40-anos-de-impunidad-buscandoles-por-verdad-y-justica</w:t>
      </w:r>
    </w:p>
    <w:p>
      <w:pPr>
        <w:pStyle w:val="BodyText"/>
      </w:pPr>
      <w:r>
        <w:t xml:space="preserve">Ari​​as Gómez, D. H. (2016).</w:t>
      </w:r>
      <w:r>
        <w:t xml:space="preserve"> </w:t>
      </w:r>
      <w:r>
        <w:rPr>
          <w:iCs/>
          <w:i/>
        </w:rPr>
        <w:t xml:space="preserve">La memoria y la enseñanza de la violencia política desde estrategias audiovisuales</w:t>
      </w:r>
      <w:r>
        <w:t xml:space="preserve">.</w:t>
      </w:r>
      <w:r>
        <w:t xml:space="preserve"> </w:t>
      </w:r>
      <w:r>
        <w:rPr>
          <w:iCs/>
          <w:i/>
        </w:rPr>
        <w:t xml:space="preserve">Revista Colombiana de Educación</w:t>
      </w:r>
      <w:r>
        <w:t xml:space="preserve">, (71), 253–278.</w:t>
      </w:r>
    </w:p>
    <w:p>
      <w:pPr>
        <w:pStyle w:val="BodyText"/>
      </w:pPr>
      <w:r>
        <w:t xml:space="preserve">Chavarría‑Zambrano, P. I., &amp; Camacho, H. (2018). Ruta metodológica en la investigación etnográfica.</w:t>
      </w:r>
      <w:r>
        <w:t xml:space="preserve"> </w:t>
      </w:r>
      <w:r>
        <w:rPr>
          <w:iCs/>
          <w:i/>
        </w:rPr>
        <w:t xml:space="preserve">Pol. Con.</w:t>
      </w:r>
      <w:r>
        <w:t xml:space="preserve">, 3(12), 449–468. https://doi.org/10.23857/pc.v3i12.1963</w:t>
      </w:r>
    </w:p>
    <w:p>
      <w:pPr>
        <w:pStyle w:val="BodyText"/>
      </w:pPr>
      <w:r>
        <w:t xml:space="preserve">Chomsky, N., &amp; Herman, E. S. (2000).</w:t>
      </w:r>
      <w:r>
        <w:t xml:space="preserve"> </w:t>
      </w:r>
      <w:r>
        <w:rPr>
          <w:iCs/>
          <w:i/>
        </w:rPr>
        <w:t xml:space="preserve">Los guardianes de la libertad</w:t>
      </w:r>
      <w:r>
        <w:t xml:space="preserve">. Mondadori.</w:t>
      </w:r>
    </w:p>
    <w:p>
      <w:pPr>
        <w:pStyle w:val="BodyText"/>
      </w:pPr>
      <w:r>
        <w:t xml:space="preserve">Comisión de la Verdad. (2022, 29 de abril).</w:t>
      </w:r>
      <w:r>
        <w:t xml:space="preserve"> </w:t>
      </w:r>
      <w:r>
        <w:rPr>
          <w:iCs/>
          <w:i/>
        </w:rPr>
        <w:t xml:space="preserve">Señores desaparecedores: Cartas del Caso Colectivo 82</w:t>
      </w:r>
      <w:r>
        <w:t xml:space="preserve">. https://web.comisiondelaverdad.co/actualidad/noticias/senores-desaparecedores-cartas-caso-colectivo-82</w:t>
      </w:r>
    </w:p>
    <w:p>
      <w:pPr>
        <w:pStyle w:val="BodyText"/>
      </w:pPr>
      <w:r>
        <w:t xml:space="preserve">Comisión para el Esclarecimiento de la Verdad, la Convivencia y la No Repetición. (2021).</w:t>
      </w:r>
      <w:r>
        <w:t xml:space="preserve"> </w:t>
      </w:r>
      <w:r>
        <w:rPr>
          <w:iCs/>
          <w:i/>
        </w:rPr>
        <w:t xml:space="preserve">Hallazgos y recomendaciones: Informe final</w:t>
      </w:r>
      <w:r>
        <w:t xml:space="preserve">. Comisión de la Verdad.</w:t>
      </w:r>
    </w:p>
    <w:p>
      <w:pPr>
        <w:pStyle w:val="BodyText"/>
      </w:pPr>
      <w:r>
        <w:t xml:space="preserve">Feld, C., &amp; Stites Mor, J. (2009).</w:t>
      </w:r>
      <w:r>
        <w:t xml:space="preserve"> </w:t>
      </w:r>
      <w:r>
        <w:rPr>
          <w:iCs/>
          <w:i/>
        </w:rPr>
        <w:t xml:space="preserve">El documental en América Latina: El ojo de la memoria</w:t>
      </w:r>
      <w:r>
        <w:t xml:space="preserve">. Paidós.</w:t>
      </w:r>
    </w:p>
    <w:p>
      <w:pPr>
        <w:pStyle w:val="BodyText"/>
      </w:pPr>
      <w:r>
        <w:t xml:space="preserve">González Cuesta, B. (2004).</w:t>
      </w:r>
      <w:r>
        <w:t xml:space="preserve"> </w:t>
      </w:r>
      <w:r>
        <w:rPr>
          <w:iCs/>
          <w:i/>
        </w:rPr>
        <w:t xml:space="preserve">Imágenes pese a todo. (Memoria visual del Holocausto)</w:t>
      </w:r>
      <w:r>
        <w:t xml:space="preserve">. OPPIDUM, (0), 391–394.</w:t>
      </w:r>
    </w:p>
    <w:p>
      <w:pPr>
        <w:pStyle w:val="BodyText"/>
      </w:pPr>
      <w:r>
        <w:t xml:space="preserve">Groys, B. (2010).</w:t>
      </w:r>
      <w:r>
        <w:t xml:space="preserve"> </w:t>
      </w:r>
      <w:r>
        <w:rPr>
          <w:iCs/>
          <w:i/>
        </w:rPr>
        <w:t xml:space="preserve">El arte del archivo</w:t>
      </w:r>
      <w:r>
        <w:t xml:space="preserve">. Akal.</w:t>
      </w:r>
    </w:p>
    <w:p>
      <w:pPr>
        <w:pStyle w:val="BodyText"/>
      </w:pPr>
      <w:r>
        <w:t xml:space="preserve">Guattari, F. (1995).</w:t>
      </w:r>
      <w:r>
        <w:t xml:space="preserve"> </w:t>
      </w:r>
      <w:r>
        <w:rPr>
          <w:iCs/>
          <w:i/>
        </w:rPr>
        <w:t xml:space="preserve">Caosmosis: Un nuevo paradigma estético</w:t>
      </w:r>
      <w:r>
        <w:t xml:space="preserve">. Manantial.</w:t>
      </w:r>
    </w:p>
    <w:p>
      <w:pPr>
        <w:pStyle w:val="BodyText"/>
      </w:pPr>
      <w:r>
        <w:t xml:space="preserve">Halbwachs, M. (1990).</w:t>
      </w:r>
      <w:r>
        <w:t xml:space="preserve"> </w:t>
      </w:r>
      <w:r>
        <w:rPr>
          <w:iCs/>
          <w:i/>
        </w:rPr>
        <w:t xml:space="preserve">La memoria colectiva</w:t>
      </w:r>
      <w:r>
        <w:t xml:space="preserve">. Trotta.</w:t>
      </w:r>
    </w:p>
    <w:p>
      <w:pPr>
        <w:pStyle w:val="BodyText"/>
      </w:pPr>
      <w:r>
        <w:t xml:space="preserve">Herrera, S. (2010).</w:t>
      </w:r>
      <w:r>
        <w:t xml:space="preserve"> </w:t>
      </w:r>
      <w:r>
        <w:rPr>
          <w:iCs/>
          <w:i/>
        </w:rPr>
        <w:t xml:space="preserve">Estéticas del duelo: Arte y memoria en Colombia</w:t>
      </w:r>
      <w:r>
        <w:t xml:space="preserve">. Universidad Nacional de Colombia.</w:t>
      </w:r>
    </w:p>
    <w:p>
      <w:pPr>
        <w:pStyle w:val="BodyText"/>
      </w:pPr>
      <w:r>
        <w:t xml:space="preserve">Jelin, E. (2002).</w:t>
      </w:r>
      <w:r>
        <w:t xml:space="preserve"> </w:t>
      </w:r>
      <w:r>
        <w:rPr>
          <w:iCs/>
          <w:i/>
        </w:rPr>
        <w:t xml:space="preserve">Los trabajos de la memoria</w:t>
      </w:r>
      <w:r>
        <w:t xml:space="preserve">. Siglo XXI Editores.</w:t>
      </w:r>
    </w:p>
    <w:p>
      <w:pPr>
        <w:pStyle w:val="BodyText"/>
      </w:pPr>
      <w:r>
        <w:t xml:space="preserve">Molano Camargo, J. C., &amp; Forero Hidalgo, J. (2020). El caso del Colectivo 82: Una historia entre la memoria y el olvido, la rebelión y la represión.</w:t>
      </w:r>
      <w:r>
        <w:t xml:space="preserve"> </w:t>
      </w:r>
      <w:r>
        <w:rPr>
          <w:iCs/>
          <w:i/>
        </w:rPr>
        <w:t xml:space="preserve">Anuario Colombiano de Historia Social y de la Cultura</w:t>
      </w:r>
      <w:r>
        <w:t xml:space="preserve">, 47(2), 85–111. https://dialnet.unirioja.es/descarga/articulo/7565993.pdf</w:t>
      </w:r>
    </w:p>
    <w:p>
      <w:pPr>
        <w:pStyle w:val="BodyText"/>
      </w:pPr>
      <w:r>
        <w:t xml:space="preserve">Nichols, B. (1991).</w:t>
      </w:r>
      <w:r>
        <w:t xml:space="preserve"> </w:t>
      </w:r>
      <w:r>
        <w:rPr>
          <w:iCs/>
          <w:i/>
        </w:rPr>
        <w:t xml:space="preserve">La representación de la realidad</w:t>
      </w:r>
      <w:r>
        <w:t xml:space="preserve">. Paidós Ibérica. https://metamentaldoc.com/9_La%20Representacion%20de%20la%20Realidad_Bill%20Nichols.pdf</w:t>
      </w:r>
    </w:p>
    <w:p>
      <w:pPr>
        <w:pStyle w:val="BodyText"/>
      </w:pPr>
      <w:r>
        <w:t xml:space="preserve">Nichols, B. (2010).</w:t>
      </w:r>
      <w:r>
        <w:t xml:space="preserve"> </w:t>
      </w:r>
      <w:r>
        <w:rPr>
          <w:iCs/>
          <w:i/>
        </w:rPr>
        <w:t xml:space="preserve">Introduction to documentary</w:t>
      </w:r>
      <w:r>
        <w:t xml:space="preserve"> </w:t>
      </w:r>
      <w:r>
        <w:t xml:space="preserve">(2.ª ed.). Indiana University Press.</w:t>
      </w:r>
    </w:p>
    <w:p>
      <w:pPr>
        <w:pStyle w:val="BodyText"/>
      </w:pPr>
      <w:r>
        <w:t xml:space="preserve">Oficina del Alto Comisionado de las Naciones Unidas para los Derechos Humanos. (2012).</w:t>
      </w:r>
      <w:r>
        <w:t xml:space="preserve"> </w:t>
      </w:r>
      <w:r>
        <w:rPr>
          <w:iCs/>
          <w:i/>
        </w:rPr>
        <w:t xml:space="preserve">El Caso Colectivo 82 cumple tres décadas</w:t>
      </w:r>
      <w:r>
        <w:t xml:space="preserve">. https://www.hchr.org.co/noticias/el-caso-colectivo-82-cumple-tres-decadas/</w:t>
      </w:r>
    </w:p>
    <w:p>
      <w:pPr>
        <w:pStyle w:val="BodyText"/>
      </w:pPr>
      <w:r>
        <w:t xml:space="preserve">Sterne, J. (2003).</w:t>
      </w:r>
      <w:r>
        <w:t xml:space="preserve"> </w:t>
      </w:r>
      <w:r>
        <w:rPr>
          <w:iCs/>
          <w:i/>
        </w:rPr>
        <w:t xml:space="preserve">The Audible Past: Cultural Origins of Sound Reproduction</w:t>
      </w:r>
      <w:r>
        <w:t xml:space="preserve">. Duke University Press.</w:t>
      </w:r>
    </w:p>
    <w:p>
      <w:pPr>
        <w:pStyle w:val="BodyText"/>
      </w:pPr>
      <w:r>
        <w:t xml:space="preserve">Tavares, M. (2015). Narrativas sonoras: El podcast como dispositivo de construcción de memoria.</w:t>
      </w:r>
      <w:r>
        <w:t xml:space="preserve"> </w:t>
      </w:r>
      <w:r>
        <w:rPr>
          <w:iCs/>
          <w:i/>
        </w:rPr>
        <w:t xml:space="preserve">Revista de Estudios Audiovisuales</w:t>
      </w:r>
      <w:r>
        <w:t xml:space="preserve">.</w:t>
      </w:r>
    </w:p>
    <w:p>
      <w:pPr>
        <w:pStyle w:val="BodyText"/>
      </w:pPr>
      <w:r>
        <w:t xml:space="preserve">Vázquez Liñán, M., &amp; Leetoy, S. (2016). Memoria histórica y propaganda: La batalla por el sentido en la comunicación social.</w:t>
      </w:r>
      <w:r>
        <w:t xml:space="preserve"> </w:t>
      </w:r>
      <w:r>
        <w:rPr>
          <w:iCs/>
          <w:i/>
        </w:rPr>
        <w:t xml:space="preserve">Comunicación y Sociedad</w:t>
      </w:r>
      <w:r>
        <w:t xml:space="preserve">, 26, 71–94.</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2025-12-04T04:45:06Z</dcterms:created>
  <dcterms:modified xsi:type="dcterms:W3CDTF">2025-12-04T04:45:06Z</dcterms:modified>
</cp:coreProperties>
</file>

<file path=docProps/custom.xml><?xml version="1.0" encoding="utf-8"?>
<Properties xmlns="http://schemas.openxmlformats.org/officeDocument/2006/custom-properties" xmlns:vt="http://schemas.openxmlformats.org/officeDocument/2006/docPropsVTypes"/>
</file>