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Plan de Pruebas — Vendix</w:t>
      </w:r>
    </w:p>
    <w:p>
      <w:pPr>
        <w:jc w:val="center"/>
      </w:pPr>
      <w:r>
        <w:t>Proyecto APT · Ingeniería en Informática · Duoc UC, sede Valparaíso</w:t>
      </w:r>
    </w:p>
    <w:p>
      <w:r>
        <w:t>Versión 1.0</w:t>
      </w:r>
    </w:p>
    <w:p>
      <w:r>
        <w:t>Este plan define pruebas funcionales iniciales para Vendix. Los resultados no se han marcado como aprobados: deben ejecutarse en el entorno del equipo y registrarse con evidencia. Los pasos deben ajustarse si la implementación real difiere de la descripción o si el entorno de prueba requiere otros datos.</w:t>
      </w:r>
    </w:p>
    <w:p>
      <w:pPr>
        <w:pStyle w:val="Heading1"/>
      </w:pPr>
      <w:r>
        <w:t>1. Objetivo</w:t>
      </w:r>
    </w:p>
    <w:p>
      <w:r>
        <w:t>Comprobar de forma ordenada los flujos principales de autenticación, productos, ventas, inventario, estadísticas, asistente y disponibilidad de la API.</w:t>
      </w:r>
    </w:p>
    <w:p>
      <w:pPr>
        <w:pStyle w:val="Heading1"/>
      </w:pPr>
      <w:r>
        <w:t>2. Alcance</w:t>
      </w:r>
    </w:p>
    <w:p>
      <w:r>
        <w:t>Incluye pruebas funcionales manuales y verificaciones de persistencia. Se recomienda ejecutarlas primero en un entorno de prueba con datos ficticios, no sobre datos reales de negocio.</w:t>
      </w:r>
    </w:p>
    <w:p>
      <w:pPr>
        <w:pStyle w:val="Heading1"/>
      </w:pPr>
      <w:r>
        <w:t>3. Condiciones previas</w:t>
      </w:r>
    </w:p>
    <w:p>
      <w:pPr>
        <w:pStyle w:val="ListBullet"/>
      </w:pPr>
      <w:r>
        <w:t>Tener las dependencias del backend y frontend instaladas.</w:t>
      </w:r>
    </w:p>
    <w:p>
      <w:pPr>
        <w:pStyle w:val="ListBullet"/>
      </w:pPr>
      <w:r>
        <w:t>Configurar el archivo .env con valores de prueba y sin compartir secretos.</w:t>
      </w:r>
    </w:p>
    <w:p>
      <w:pPr>
        <w:pStyle w:val="ListBullet"/>
      </w:pPr>
      <w:r>
        <w:t>Tener MySQL disponible y el esquema inicializado.</w:t>
      </w:r>
    </w:p>
    <w:p>
      <w:pPr>
        <w:pStyle w:val="ListBullet"/>
      </w:pPr>
      <w:r>
        <w:t>Levantar backend y frontend, y confirmar la URL de la API.</w:t>
      </w:r>
    </w:p>
    <w:p>
      <w:pPr>
        <w:pStyle w:val="ListBullet"/>
      </w:pPr>
      <w:r>
        <w:t>Preparar una cuenta y productos de prueba; anotar los datos iniciales de stock y ventas.</w:t>
      </w:r>
    </w:p>
    <w:p>
      <w:pPr>
        <w:pStyle w:val="Heading1"/>
      </w:pPr>
      <w:r>
        <w:t>4. Casos de prueba</w:t>
      </w:r>
    </w:p>
    <w:p>
      <w:pPr>
        <w:pStyle w:val="Heading2"/>
      </w:pPr>
      <w:r>
        <w:t>CP-01 — Inicio de sesión con credenciales válidas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Ingresar credenciales de una cuenta de prueba existente y enviar el formulario.</w:t>
      </w:r>
    </w:p>
    <w:p>
      <w:r>
        <w:rPr>
          <w:b/>
        </w:rPr>
        <w:t xml:space="preserve">Resultado esperado: </w:t>
      </w:r>
      <w:r>
        <w:t>El sistema permite el acceso y muestra la vista autorizada.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CP-02 — Inicio de sesión con credenciales inválidas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Ingresar una contraseña incorrecta para una cuenta de prueba.</w:t>
      </w:r>
    </w:p>
    <w:p>
      <w:r>
        <w:rPr>
          <w:b/>
        </w:rPr>
        <w:t xml:space="preserve">Resultado esperado: </w:t>
      </w:r>
      <w:r>
        <w:t>El sistema rechaza el acceso y muestra un mensaje claro sin exponer información sensible.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CP-03 — Acceso a una ruta protegida sin sesión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Intentar acceder a una función protegida sin token o sesión válida.</w:t>
      </w:r>
    </w:p>
    <w:p>
      <w:r>
        <w:rPr>
          <w:b/>
        </w:rPr>
        <w:t xml:space="preserve">Resultado esperado: </w:t>
      </w:r>
      <w:r>
        <w:t>La API rechaza la solicitud no autorizada.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CP-04 — Crear un producto válido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Enviar nombre, precio y demás campos obligatorios válidos a través de la interfaz/API.</w:t>
      </w:r>
    </w:p>
    <w:p>
      <w:r>
        <w:rPr>
          <w:b/>
        </w:rPr>
        <w:t xml:space="preserve">Resultado esperado: </w:t>
      </w:r>
      <w:r>
        <w:t>El producto se guarda y aparece en la consulta posterior.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CP-05 — Validación de producto inválido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Enviar un producto con un campo obligatorio ausente o un valor no permitido.</w:t>
      </w:r>
    </w:p>
    <w:p>
      <w:r>
        <w:rPr>
          <w:b/>
        </w:rPr>
        <w:t xml:space="preserve">Resultado esperado: </w:t>
      </w:r>
      <w:r>
        <w:t>La solicitud se rechaza con un error de validación comprensible.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CP-06 — Registrar una venta válida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Crear una venta de prueba con productos existentes y cantidades válidas.</w:t>
      </w:r>
    </w:p>
    <w:p>
      <w:r>
        <w:rPr>
          <w:b/>
        </w:rPr>
        <w:t xml:space="preserve">Resultado esperado: </w:t>
      </w:r>
      <w:r>
        <w:t>La venta se guarda, el total es coherente y el inventario se actualiza según las reglas implementadas.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CP-07 — Venta con stock insuficiente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Intentar vender una cantidad mayor que las existencias disponibles.</w:t>
      </w:r>
    </w:p>
    <w:p>
      <w:r>
        <w:rPr>
          <w:b/>
        </w:rPr>
        <w:t xml:space="preserve">Resultado esperado: </w:t>
      </w:r>
      <w:r>
        <w:t>La operación se rechaza si esa es la regla implementada y el stock no queda inconsistente.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 / confirmar regla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CP-08 — Consultar inventario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Abrir el módulo de inventario y consultar las existencias de un producto de prueba.</w:t>
      </w:r>
    </w:p>
    <w:p>
      <w:r>
        <w:rPr>
          <w:b/>
        </w:rPr>
        <w:t xml:space="preserve">Resultado esperado: </w:t>
      </w:r>
      <w:r>
        <w:t>La interfaz muestra datos coherentes con la respuesta de la API y la base de datos.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CP-09 — Consultar estadísticas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Consultar estadísticas con datos de ventas de prueba conocidos.</w:t>
      </w:r>
    </w:p>
    <w:p>
      <w:r>
        <w:rPr>
          <w:b/>
        </w:rPr>
        <w:t xml:space="preserve">Resultado esperado: </w:t>
      </w:r>
      <w:r>
        <w:t>Los valores mostrados coinciden con los datos disponibles y los filtros usados.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CP-10 — Asistente sin clave de IA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Ejecutar una consulta al asistente sin configurar la clave del proveedor de IA.</w:t>
      </w:r>
    </w:p>
    <w:p>
      <w:r>
        <w:rPr>
          <w:b/>
        </w:rPr>
        <w:t xml:space="preserve">Resultado esperado: </w:t>
      </w:r>
      <w:r>
        <w:t>El backend utiliza el comportamiento alternativo documentado o informa claramente que la función no está disponible.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CP-11 — Ruta de salud de la API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Con el backend iniciado, consultar GET /api/salud.</w:t>
      </w:r>
    </w:p>
    <w:p>
      <w:r>
        <w:rPr>
          <w:b/>
        </w:rPr>
        <w:t xml:space="preserve">Resultado esperado: </w:t>
      </w:r>
      <w:r>
        <w:t>La API devuelve la respuesta de salud documentada y refleja el estado de las dependencias según su implementación.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2"/>
      </w:pPr>
      <w:r>
        <w:t>CP-12 — Persistencia tras reinicio</w:t>
      </w:r>
    </w:p>
    <w:p>
      <w:r>
        <w:rPr>
          <w:b/>
        </w:rPr>
        <w:t xml:space="preserve">Precondición: </w:t>
      </w:r>
      <w:r>
        <w:t>Entorno de prueba disponible; preparar los datos necesarios para este caso.</w:t>
      </w:r>
    </w:p>
    <w:p>
      <w:r>
        <w:rPr>
          <w:b/>
        </w:rPr>
        <w:t xml:space="preserve">Pasos: </w:t>
      </w:r>
      <w:r>
        <w:t>Crear un producto de prueba, reiniciar el backend y consultar el producto nuevamente.</w:t>
      </w:r>
    </w:p>
    <w:p>
      <w:r>
        <w:rPr>
          <w:b/>
        </w:rPr>
        <w:t xml:space="preserve">Resultado esperado: </w:t>
      </w:r>
      <w:r>
        <w:t>El producto continúa disponible si la operación fue confirmada en MySQL.</w:t>
      </w:r>
    </w:p>
    <w:p>
      <w:r>
        <w:rPr>
          <w:b/>
        </w:rPr>
        <w:t xml:space="preserve">Resultado real: </w:t>
      </w:r>
      <w:r>
        <w:t>Completar después de ejecutar la prueba.</w:t>
      </w:r>
    </w:p>
    <w:p>
      <w:r>
        <w:rPr>
          <w:b/>
        </w:rPr>
        <w:t xml:space="preserve">Estado: </w:t>
      </w:r>
      <w:r>
        <w:t>Por ejecutar</w:t>
      </w:r>
    </w:p>
    <w:p>
      <w:r>
        <w:rPr>
          <w:b/>
        </w:rPr>
        <w:t xml:space="preserve">Evidencia: </w:t>
      </w:r>
      <w:r>
        <w:t>Agregar captura, salida de consola, respuesta HTTP o consulta de base de datos, según corresponda.</w:t>
      </w:r>
    </w:p>
    <w:p>
      <w:pPr>
        <w:pStyle w:val="Heading1"/>
      </w:pPr>
      <w:r>
        <w:t>5. Registro de resultados</w:t>
      </w:r>
    </w:p>
    <w:p>
      <w:r>
        <w:t>Utiliza uno de estos estados al ejecutar cada caso: Aprobado, Fallido, Bloqueado o No ejecutado. Si falla, anota los pasos reproducibles, el resultado obtenido y el defecto asociado. No cambies el estado a Aprobado sin evidencia.</w:t>
      </w:r>
    </w:p>
    <w:p>
      <w:pPr>
        <w:pStyle w:val="Heading1"/>
      </w:pPr>
      <w:r>
        <w:t>6. Criterio de cierre</w:t>
      </w:r>
    </w:p>
    <w:p>
      <w:r>
        <w:t>El plan puede considerarse ejecutado cuando todos los casos aplicables tienen un estado y evidencia o una justificación de bloqueo. Los fallos que impidan cumplir los criterios de aceptación deben resolverse o quedar declarados como pendientes antes de afirmar que el sistema está validado.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