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Av. Brasil, 2185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Cianorte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87201-100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 3619 - 4410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(44)3619-4468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(44)9971-1234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Marcélia Fecchio de Melo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marcelia@gruponabhan.com.br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Luciano Sanches Canonico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22/06/2015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24/06/2015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53873eb3faee58fce9f12c36e7466de2 *IdPafEcf.TXT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           17ED8826C31E3E24F14A735A1CA5C5B4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101130bd238741bd350ad1949df419a3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7773947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 Ltda,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SPED/SINTEGRA/DOCUMENTOS/LIVROS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MP-2100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MP-20 FI 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MP-40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MP-50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R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ST2500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2570 MR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S-2070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FS345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FS318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400 1E-EP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 IF 400 2E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500 1E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6000TH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X5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800-S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ECF-MR 10000-S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10000-S1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FX7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S-7000II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S-9000PR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S-9000II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S-9000IIIE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ST120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ST2000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- item 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