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D63A" w14:textId="77777777" w:rsidR="006A67B3" w:rsidRDefault="00BF4566">
      <w:pPr>
        <w:spacing w:line="360" w:lineRule="auto"/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REGRAS, PROCEDIMENTOS E DESCRIÇÃO DOS CONTROLES INTERNOS </w:t>
      </w:r>
    </w:p>
    <w:p w14:paraId="6199313B" w14:textId="77777777" w:rsidR="006A67B3" w:rsidRDefault="00BF4566">
      <w:pPr>
        <w:spacing w:line="360" w:lineRule="auto"/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(POLÍTICA DE CONTROLES INTERNOS)</w:t>
      </w:r>
    </w:p>
    <w:p w14:paraId="4D028D2F" w14:textId="77777777" w:rsidR="002C7CF7" w:rsidRDefault="002C7CF7" w:rsidP="002C7CF7">
      <w:pPr>
        <w:spacing w:line="360" w:lineRule="auto"/>
        <w:jc w:val="center"/>
        <w:rPr>
          <w:rFonts w:ascii="Open Sans" w:eastAsia="Open Sans" w:hAnsi="Open Sans" w:cs="Open Sans"/>
        </w:rPr>
      </w:pPr>
      <w:r w:rsidRPr="003A0A1D">
        <w:rPr>
          <w:rFonts w:ascii="Open Sans" w:eastAsia="Open Sans" w:hAnsi="Open Sans" w:cs="Open Sans"/>
        </w:rPr>
        <w:t>AZZURRA CAPITAL GESTORA DE RECURSOS LTDA</w:t>
      </w:r>
      <w:r>
        <w:rPr>
          <w:rFonts w:ascii="Open Sans" w:eastAsia="Open Sans" w:hAnsi="Open Sans" w:cs="Open Sans"/>
        </w:rPr>
        <w:t>.</w:t>
      </w:r>
    </w:p>
    <w:p w14:paraId="75EF1B5D" w14:textId="77777777" w:rsidR="002C7CF7" w:rsidRDefault="002C7CF7" w:rsidP="002C7CF7">
      <w:pPr>
        <w:spacing w:line="36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(Azzurra Capital)</w:t>
      </w:r>
    </w:p>
    <w:p w14:paraId="70F9B013" w14:textId="77777777" w:rsidR="006A67B3" w:rsidRDefault="006A67B3">
      <w:pPr>
        <w:spacing w:line="360" w:lineRule="auto"/>
        <w:rPr>
          <w:rFonts w:ascii="Open Sans" w:eastAsia="Open Sans" w:hAnsi="Open Sans" w:cs="Open Sans"/>
        </w:rPr>
      </w:pPr>
    </w:p>
    <w:p w14:paraId="35E4BB52" w14:textId="77777777" w:rsidR="006A67B3" w:rsidRDefault="00BF4566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INTRODUÇÃO</w:t>
      </w:r>
    </w:p>
    <w:p w14:paraId="22F2FA5A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Esta Política de Controles Internos (“Política”), foi elaborada pela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em conformidade com o disposto nos Art. 19 e incisos I e II do Art. 20 da Instrução CVM nº 558/2015 para garantir o permanente atendimento às normas, políticas e regulamentações vigentes, referentes à atividade de administração de carteiras de valores mobiliários e aos mais elevados padrões éticos e profissionais. A Política é aplicável a todos os profissionais que possuam participação societária, cargo, função, vínculo empregatício, contratual ou relação de confiança ("Colaboradores") com a </w:t>
      </w:r>
      <w:r w:rsidR="002C7CF7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>.</w:t>
      </w:r>
    </w:p>
    <w:p w14:paraId="5E7B260F" w14:textId="77777777" w:rsidR="006A67B3" w:rsidRDefault="006A67B3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</w:p>
    <w:p w14:paraId="357005B6" w14:textId="77777777" w:rsidR="006A67B3" w:rsidRDefault="00BF4566">
      <w:pPr>
        <w:numPr>
          <w:ilvl w:val="0"/>
          <w:numId w:val="2"/>
        </w:numPr>
        <w:spacing w:before="240" w:after="240" w:line="360" w:lineRule="auto"/>
        <w:jc w:val="both"/>
      </w:pPr>
      <w:r>
        <w:rPr>
          <w:rFonts w:ascii="Open Sans" w:eastAsia="Open Sans" w:hAnsi="Open Sans" w:cs="Open Sans"/>
          <w:b/>
        </w:rPr>
        <w:t>REVISÃO E CUMPRIMENTO DE REGRAS, POLÍTICAS, PROCEDIMENTOS E CONTROLES INTERNOS</w:t>
      </w:r>
    </w:p>
    <w:p w14:paraId="2597DF0D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responsabilidade pela revisão e cumprimento desta Política de Controles Internos é atribuída ao Sr. Rogério Bassit </w:t>
      </w:r>
      <w:proofErr w:type="spellStart"/>
      <w:r>
        <w:rPr>
          <w:rFonts w:ascii="Open Sans" w:eastAsia="Open Sans" w:hAnsi="Open Sans" w:cs="Open Sans"/>
        </w:rPr>
        <w:t>Sallum</w:t>
      </w:r>
      <w:proofErr w:type="spellEnd"/>
      <w:r>
        <w:rPr>
          <w:rFonts w:ascii="Open Sans" w:eastAsia="Open Sans" w:hAnsi="Open Sans" w:cs="Open Sans"/>
        </w:rPr>
        <w:t>, na qualidade de diretor estatutário responsável pelo cumprimento de regras, políticas, procedimentos e controles internos, bem como pelo gerenciamento de riscos e prevenção à lavagem de dinheiro (“</w:t>
      </w:r>
      <w:r>
        <w:rPr>
          <w:rFonts w:ascii="Open Sans" w:eastAsia="Open Sans" w:hAnsi="Open Sans" w:cs="Open Sans"/>
          <w:u w:val="single"/>
        </w:rPr>
        <w:t xml:space="preserve">Diretor de </w:t>
      </w:r>
      <w:proofErr w:type="spellStart"/>
      <w:r>
        <w:rPr>
          <w:rFonts w:ascii="Open Sans" w:eastAsia="Open Sans" w:hAnsi="Open Sans" w:cs="Open Sans"/>
          <w:u w:val="single"/>
        </w:rPr>
        <w:t>Compliance</w:t>
      </w:r>
      <w:proofErr w:type="spellEnd"/>
      <w:r>
        <w:rPr>
          <w:rFonts w:ascii="Open Sans" w:eastAsia="Open Sans" w:hAnsi="Open Sans" w:cs="Open Sans"/>
          <w:u w:val="single"/>
        </w:rPr>
        <w:t>, Risco e PLD</w:t>
      </w:r>
      <w:r>
        <w:rPr>
          <w:rFonts w:ascii="Open Sans" w:eastAsia="Open Sans" w:hAnsi="Open Sans" w:cs="Open Sans"/>
        </w:rPr>
        <w:t>”), conforme estipulado pela Instrução CVM 558/2015.</w:t>
      </w:r>
    </w:p>
    <w:p w14:paraId="4E54B796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 Diretor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, Risco e PLD tem plena autonomia e independência, reportando-se diretamente somente ao Comitê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. As responsabilidades das atividades dessa Política na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incluem, mas não se limitam a: </w:t>
      </w:r>
    </w:p>
    <w:p w14:paraId="2313C25F" w14:textId="77777777" w:rsidR="006A67B3" w:rsidRDefault="00BF4566">
      <w:pPr>
        <w:numPr>
          <w:ilvl w:val="0"/>
          <w:numId w:val="5"/>
        </w:numPr>
        <w:spacing w:before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Atender prontamente a todos os Colaboradores;</w:t>
      </w:r>
    </w:p>
    <w:p w14:paraId="481477ED" w14:textId="77777777" w:rsidR="006A67B3" w:rsidRDefault="00BF4566">
      <w:pPr>
        <w:numPr>
          <w:ilvl w:val="0"/>
          <w:numId w:val="5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Monitoramento constante da efetividade dos controles internos; </w:t>
      </w:r>
    </w:p>
    <w:p w14:paraId="54498887" w14:textId="77777777" w:rsidR="006A67B3" w:rsidRDefault="00BF4566">
      <w:pPr>
        <w:numPr>
          <w:ilvl w:val="0"/>
          <w:numId w:val="5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Monitoramento da observação ao Código de Ética;</w:t>
      </w:r>
    </w:p>
    <w:p w14:paraId="24077D2F" w14:textId="77777777" w:rsidR="006A67B3" w:rsidRDefault="00BF4566">
      <w:pPr>
        <w:numPr>
          <w:ilvl w:val="0"/>
          <w:numId w:val="5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Identificar possíveis condutas contrárias à Política, Código de Ética e demais Políticas e Manuais;</w:t>
      </w:r>
    </w:p>
    <w:p w14:paraId="4E5A3B41" w14:textId="77777777" w:rsidR="006A67B3" w:rsidRDefault="00BF4566">
      <w:pPr>
        <w:numPr>
          <w:ilvl w:val="0"/>
          <w:numId w:val="5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Assessorar o gerenciamento dos negócios no que se refere ao entendimento, interpretação e impacto da legislação;</w:t>
      </w:r>
    </w:p>
    <w:p w14:paraId="76A01BE1" w14:textId="77777777" w:rsidR="006A67B3" w:rsidRDefault="00BF4566">
      <w:pPr>
        <w:numPr>
          <w:ilvl w:val="0"/>
          <w:numId w:val="5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Transmissão do Código e das Políticas aos colaboradores e todos os que possam ter participação direta ou indireta na condução de atividades na </w:t>
      </w:r>
      <w:r w:rsidR="002C7CF7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 xml:space="preserve">; </w:t>
      </w:r>
    </w:p>
    <w:p w14:paraId="775A7CD2" w14:textId="77777777" w:rsidR="006A67B3" w:rsidRDefault="00BF4566">
      <w:pPr>
        <w:numPr>
          <w:ilvl w:val="0"/>
          <w:numId w:val="5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Monitoramento do enquadramento das alocações em ativos, definidas pelo Comitê de Gestão de Recursos para os veículos de investimento sob gestão; </w:t>
      </w:r>
    </w:p>
    <w:p w14:paraId="65738EAE" w14:textId="77777777" w:rsidR="006A67B3" w:rsidRDefault="00BF4566">
      <w:pPr>
        <w:numPr>
          <w:ilvl w:val="0"/>
          <w:numId w:val="5"/>
        </w:numPr>
        <w:spacing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Controle da documentação pendente dos veículos de investimentos e ativos investidos por estes.</w:t>
      </w:r>
    </w:p>
    <w:p w14:paraId="1D3595EF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Ao menos uma vez por ano, a área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deverá conduzir uma revisão completa desta Política, da agenda regulatória, do programa de treinamento, inclusive da própria Diretoria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e Risco, dos formulários e testes de aderência. Como resultado da revisão anual, a área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deverá elaborar relatório de conclusões de controles internos de que trata o artigo 22 da Instrução CVM nº 558/15. </w:t>
      </w:r>
    </w:p>
    <w:p w14:paraId="2BC5BACE" w14:textId="77777777" w:rsidR="006A67B3" w:rsidRDefault="006A67B3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</w:p>
    <w:p w14:paraId="5B9C4787" w14:textId="77777777" w:rsidR="006A67B3" w:rsidRDefault="00BF4566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POLÍTICAS DE CONFIDENCIALIDADE</w:t>
      </w:r>
    </w:p>
    <w:p w14:paraId="1570E5F4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confidencialidade é um princípio fundamental do negócio da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e é especialmente aplicável às informações que não são de domínio público.</w:t>
      </w:r>
    </w:p>
    <w:p w14:paraId="2732884D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Todos os colaboradores da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assinam um Termo de Adesão ao Código de Ética na data de entrada na empresa comprometendo-se a manter sob absoluto sigilo e confidencialidade todas e quaisquer informações, dados, programa de computador, documentos, projetos, arquivos e quaisquer outros materiais, inclusive informações verbais, a que venham ter acesso (“Informações Confidenciais”).</w:t>
      </w:r>
    </w:p>
    <w:p w14:paraId="58A3B076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tipificação e orientações detalhadas sobre como acessar, manusear, arquivar e proteger as informações confidenciais estão descritas no capítulo 5 do Código de Ética. É dever da Diretoria de </w:t>
      </w:r>
      <w:proofErr w:type="spellStart"/>
      <w:r>
        <w:rPr>
          <w:rFonts w:ascii="Open Sans" w:eastAsia="Open Sans" w:hAnsi="Open Sans" w:cs="Open Sans"/>
        </w:rPr>
        <w:lastRenderedPageBreak/>
        <w:t>Compliance</w:t>
      </w:r>
      <w:proofErr w:type="spellEnd"/>
      <w:r>
        <w:rPr>
          <w:rFonts w:ascii="Open Sans" w:eastAsia="Open Sans" w:hAnsi="Open Sans" w:cs="Open Sans"/>
        </w:rPr>
        <w:t xml:space="preserve"> verificar anualmente a ciência e o compromisso dos colaboradores às Políticas e Manuais de controles internos.</w:t>
      </w:r>
    </w:p>
    <w:p w14:paraId="1AB58B71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Cabe também à Diretoria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manter treinamento para todos os colaboradores e acompanhamento especial àqueles que tenham acesso a informações confidenciais, reservadas ou privilegiadas e participem do processo de decisão de investimento. </w:t>
      </w:r>
    </w:p>
    <w:p w14:paraId="41B32918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Conforme descrito no item </w:t>
      </w:r>
      <w:r>
        <w:rPr>
          <w:rFonts w:ascii="Open Sans" w:eastAsia="Open Sans" w:hAnsi="Open Sans" w:cs="Open Sans"/>
          <w:b/>
        </w:rPr>
        <w:t>Testes Periódicos</w:t>
      </w:r>
      <w:r>
        <w:rPr>
          <w:rFonts w:ascii="Open Sans" w:eastAsia="Open Sans" w:hAnsi="Open Sans" w:cs="Open Sans"/>
        </w:rPr>
        <w:t xml:space="preserve"> do capítulo Políticas de Segurança desta Política, os testes que contemplam a verificação de acesso dos Colaboradores, em especial para os mantidos em meio eletrônico, devem: </w:t>
      </w:r>
    </w:p>
    <w:p w14:paraId="113C5CA8" w14:textId="77777777" w:rsidR="006A67B3" w:rsidRDefault="00BF4566">
      <w:pPr>
        <w:numPr>
          <w:ilvl w:val="0"/>
          <w:numId w:val="1"/>
        </w:numPr>
        <w:spacing w:before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garantir o adequado nível de confidencialidade e acessos às informações confidenciais;</w:t>
      </w:r>
    </w:p>
    <w:p w14:paraId="53BB51D3" w14:textId="77777777" w:rsidR="006A67B3" w:rsidRDefault="00BF4566">
      <w:pPr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assegurar que os recursos computacionais sejam protegidos contra adulterações; e</w:t>
      </w:r>
    </w:p>
    <w:p w14:paraId="543EFFB7" w14:textId="77777777" w:rsidR="006A67B3" w:rsidRDefault="00BF4566">
      <w:pPr>
        <w:numPr>
          <w:ilvl w:val="0"/>
          <w:numId w:val="1"/>
        </w:numPr>
        <w:spacing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assegurar que a manutenção de registros permita a realização de auditorias e inspeções</w:t>
      </w:r>
    </w:p>
    <w:p w14:paraId="0FE4F72F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identificação dos detentores de informações confidenciais é realizada por meio do controle de acesso aos sistemas de informação utilizados em cada um dos departamentos. Cada Colaborador possui um usuário e senha pessoais e intransferíveis, por meio dos quais acessam as instâncias do sistema a que tenham permissão de acessar, sendo assim possível identificar os detentores de informações confidenciais para responsabilização em caso de vazamento. Cada departamento da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também é segregado fisicamente com controle de acesso, não sendo permitida a entrada ou utilização de equipamentos por pessoas não autorizadas.</w:t>
      </w:r>
    </w:p>
    <w:p w14:paraId="5DEB8889" w14:textId="77777777" w:rsidR="006A67B3" w:rsidRDefault="006A67B3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</w:p>
    <w:p w14:paraId="2FE1CE08" w14:textId="77777777" w:rsidR="006A67B3" w:rsidRDefault="00BF4566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POLÍTICAS DE SEGURANÇA</w:t>
      </w:r>
    </w:p>
    <w:p w14:paraId="04A9CFB8" w14:textId="77777777" w:rsidR="006A67B3" w:rsidRDefault="00BF456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Segurança da informação é o conjunto de esforços contínuos para a proteção dos ativos de informação da empresa que auxiliam a organização no cumprimento de sua missão e seus objetivos. Os princípios da segurança da informação da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são os seguintes:</w:t>
      </w:r>
    </w:p>
    <w:p w14:paraId="01926BE9" w14:textId="77777777" w:rsidR="006A67B3" w:rsidRDefault="00BF45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Confidencialidade: garantia de que as informações tratadas sejam de conhecimento exclusivo de pessoas especificamente autorizadas;</w:t>
      </w:r>
    </w:p>
    <w:p w14:paraId="6942879C" w14:textId="77777777" w:rsidR="006A67B3" w:rsidRDefault="00BF45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Integridade: garantia de que as informações sejam mantidas íntegras, sem modificações indevidas, sejam acidentais ou propositais;</w:t>
      </w:r>
    </w:p>
    <w:p w14:paraId="38594DD4" w14:textId="77777777" w:rsidR="006A67B3" w:rsidRDefault="00BF45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Disponibilidade: garantia de que as informações estejam disponíveis a todas as pessoas autorizadas a tratá-las.</w:t>
      </w:r>
    </w:p>
    <w:p w14:paraId="550BA15F" w14:textId="77777777" w:rsidR="006A67B3" w:rsidRDefault="006A67B3">
      <w:pPr>
        <w:spacing w:line="360" w:lineRule="auto"/>
        <w:jc w:val="both"/>
        <w:rPr>
          <w:rFonts w:ascii="Open Sans" w:eastAsia="Open Sans" w:hAnsi="Open Sans" w:cs="Open Sans"/>
          <w:b/>
          <w:u w:val="single"/>
        </w:rPr>
      </w:pPr>
    </w:p>
    <w:p w14:paraId="3A3A8DCF" w14:textId="77777777" w:rsidR="006A67B3" w:rsidRDefault="00BF4566">
      <w:pPr>
        <w:spacing w:line="360" w:lineRule="auto"/>
        <w:jc w:val="both"/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 xml:space="preserve">Acesso a Sistemas e Recursos de Rede </w:t>
      </w:r>
    </w:p>
    <w:p w14:paraId="735EFEEF" w14:textId="77777777" w:rsidR="006A67B3" w:rsidRDefault="006A67B3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1E6714A2" w14:textId="77777777" w:rsidR="006A67B3" w:rsidRDefault="00BF4566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Cada colaborador é totalmente responsável pela correta posse e utilização de seus logins, senhas e autorizações de acesso a sistemas, assim como pelas ações decorrentes de sua utilização. O compartilhamento de logins e senhas não é permitido em nenhuma situação. </w:t>
      </w:r>
    </w:p>
    <w:p w14:paraId="738F3D6D" w14:textId="77777777" w:rsidR="006A67B3" w:rsidRDefault="00BF4566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 acesso e uso de todos os sistemas de informação devem ser restritos a pessoas explicitamente autorizadas e de acordo com a necessidade para o cumprimento de suas funções. Acessos desnecessários ou com poder excessivo devem ser imediatamente retirados. </w:t>
      </w:r>
    </w:p>
    <w:p w14:paraId="59346FBD" w14:textId="77777777" w:rsidR="006A67B3" w:rsidRDefault="00BF4566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concessão de acesso às informações e sistemas da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deve ser autorizada pelo respectivo proprietário com base na regra de mínimo acesso necessário para o desempenho de sua função. O acesso e uso de recursos de rede, incluindo mensagens eletrônicas e acesso à internet, devem estar alinhados às atividades de negócio da </w:t>
      </w:r>
      <w:r w:rsidR="002C7CF7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 xml:space="preserve">. </w:t>
      </w:r>
    </w:p>
    <w:p w14:paraId="0243E39B" w14:textId="017F7473" w:rsidR="0046015B" w:rsidRDefault="00BF4566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utilização de recursos de rede, sistemas e outras fontes de informação será monitorada pela </w:t>
      </w:r>
      <w:r w:rsidR="002C7CF7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 xml:space="preserve">, por meio de registros de auditoria em telefonia, computadores, sistemas, mensagens eletrônicas, acessos à internet, entre outros. Essas informações podem ser coletadas e utilizadas, a critério da empresa, para a execução de investigações internas ou para atendimento de medidas judiciais, sem aviso prévio às pessoas envolvidas, respeitando-se, porém, a privacidade dos colaboradores. O registro dos proprietários e usuários, assim como todos os acessos e tentativas de acesso ficam registrados nos sistemas. Importante frisar que todos os ramais de telefonia da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são gravados, de modo que qualquer mau uso é identificável.</w:t>
      </w:r>
    </w:p>
    <w:p w14:paraId="2859108D" w14:textId="77777777" w:rsidR="006A67B3" w:rsidRDefault="006A67B3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7BDCB8A0" w14:textId="77777777" w:rsidR="006A67B3" w:rsidRDefault="00BF4566">
      <w:pPr>
        <w:spacing w:line="360" w:lineRule="auto"/>
        <w:jc w:val="both"/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 xml:space="preserve">Testes Periódicos </w:t>
      </w:r>
    </w:p>
    <w:p w14:paraId="5DA3D64C" w14:textId="77777777" w:rsidR="006A67B3" w:rsidRDefault="006A67B3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71610B55" w14:textId="77777777" w:rsidR="006A67B3" w:rsidRDefault="00BF4566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O Diretor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, Risco e PLD adota as seguintes medidas para monitorar determinados usos de dados e sistemas em um esforço para detectar acessos não autorizados ou outras violações potenciais, em base, no mínimo, anual: </w:t>
      </w:r>
    </w:p>
    <w:p w14:paraId="32FCA109" w14:textId="37049A08" w:rsidR="006A67B3" w:rsidRDefault="00BF4566">
      <w:pPr>
        <w:numPr>
          <w:ilvl w:val="0"/>
          <w:numId w:val="4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Verificação do login de todos colaboradores ao</w:t>
      </w:r>
      <w:r w:rsidR="0046015B"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</w:rPr>
        <w:t xml:space="preserve"> sistemas de informação e níveis de acesso a informações confidenciais; </w:t>
      </w:r>
    </w:p>
    <w:p w14:paraId="20BA9224" w14:textId="77777777" w:rsidR="006A67B3" w:rsidRDefault="00BF4566">
      <w:pPr>
        <w:numPr>
          <w:ilvl w:val="0"/>
          <w:numId w:val="4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Alteração de senha de acesso dos colaboradores;</w:t>
      </w:r>
    </w:p>
    <w:p w14:paraId="30852793" w14:textId="77777777" w:rsidR="006A67B3" w:rsidRDefault="00BF4566">
      <w:pPr>
        <w:numPr>
          <w:ilvl w:val="0"/>
          <w:numId w:val="4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Testes no firewall; </w:t>
      </w:r>
    </w:p>
    <w:p w14:paraId="7F4C0A97" w14:textId="77777777" w:rsidR="006A67B3" w:rsidRDefault="00BF4566">
      <w:pPr>
        <w:numPr>
          <w:ilvl w:val="0"/>
          <w:numId w:val="4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Manutenção preventiva de hardware por empresa contratada de tecnologia de informação; </w:t>
      </w:r>
    </w:p>
    <w:p w14:paraId="233F3B0B" w14:textId="77777777" w:rsidR="006A67B3" w:rsidRDefault="00BF4566">
      <w:pPr>
        <w:numPr>
          <w:ilvl w:val="0"/>
          <w:numId w:val="4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Atualização de software, quando aplicável, pela empresa contratada de tecnologia de informação; e </w:t>
      </w:r>
    </w:p>
    <w:p w14:paraId="4BC8D5F5" w14:textId="77777777" w:rsidR="006A67B3" w:rsidRDefault="00BF4566">
      <w:pPr>
        <w:numPr>
          <w:ilvl w:val="0"/>
          <w:numId w:val="4"/>
        </w:num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Testes no backup (salvamento de informações) realizado na nuvem e de integridade do hardware com cópia local.</w:t>
      </w:r>
    </w:p>
    <w:p w14:paraId="72C50459" w14:textId="77777777" w:rsidR="006A67B3" w:rsidRDefault="006A67B3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0B44BD33" w14:textId="77777777" w:rsidR="006A67B3" w:rsidRDefault="00BF4566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POLÍTICAS DE TREINAMENTO</w:t>
      </w:r>
    </w:p>
    <w:p w14:paraId="671B1289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 vistas ao adequado enquadramento da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às normas legais e regulamentares e à manutenção de elevado padrão de prestação de serviços, a companhia possui um processo de integração e treinamento inicial dos seus colaboradores e um programa de treinamento contínuo dos mesmos.</w:t>
      </w:r>
    </w:p>
    <w:p w14:paraId="14A2F6C7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Diretoria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garante a todo novo colaborador, no momento de seu ingresso na empresa, um treinamento abordando as atividades da </w:t>
      </w:r>
      <w:r w:rsidR="002C7CF7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 xml:space="preserve">, as normas vigentes e as políticas contempladas nesta Política. Adicionalmente ao treinamento inicial, é fundamental que todos os colaboradores tenham conhecimento, bem como mantenham-no sempre atualizado, dos seus princípios éticos, bem como das leis e normas aplicáveis às atividades da companhia. Neste sentido, a </w:t>
      </w:r>
      <w:r w:rsidR="002C7CF7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adota um programa de treinamento contínuo dos seus colaboradores, com o objetivo de fazer com que os mesmos estejam sempre atualizados sobre os termos e responsabilidades a que estão sujeitos. </w:t>
      </w:r>
    </w:p>
    <w:p w14:paraId="4AE1DE13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 Diretor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deverá conduzir sessões de treinamento aos colaboradores periodicamente, conforme entender ser recomendável, de forma que os colaboradores entendam e cumpram as </w:t>
      </w:r>
      <w:r>
        <w:rPr>
          <w:rFonts w:ascii="Open Sans" w:eastAsia="Open Sans" w:hAnsi="Open Sans" w:cs="Open Sans"/>
        </w:rPr>
        <w:lastRenderedPageBreak/>
        <w:t xml:space="preserve">disposições previstas nesta Política, e deve estar frequentemente disponível para responder questões que possam surgir em relação aos termos desta Política e quaisquer regras relacionadas à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. </w:t>
      </w:r>
    </w:p>
    <w:p w14:paraId="56115811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Os processos de treinamento (inicial e contínuo) são controlados pelo Diretor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e exigem o comprometimento total dos colaboradores quanto a sua assiduidade e dedicação. O Comitê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poderá contratar profissionais especializados para conduzirem o treinamento inicial e programas de reciclagem, conforme as matérias a serem abordadas.</w:t>
      </w:r>
    </w:p>
    <w:p w14:paraId="726C63DB" w14:textId="77777777" w:rsidR="006A67B3" w:rsidRDefault="006A67B3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</w:p>
    <w:p w14:paraId="433FC70A" w14:textId="77777777" w:rsidR="006A67B3" w:rsidRDefault="00BF4566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INVESTIMENTOS PESSOAIS</w:t>
      </w:r>
    </w:p>
    <w:p w14:paraId="00C3957E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Verificar anualmente a adequação dos investimentos pessoais dos colaboradores à Política de Compra e Venda de Valores Mobiliários estabelecida internamente. </w:t>
      </w:r>
    </w:p>
    <w:p w14:paraId="6A4AA17E" w14:textId="77777777" w:rsidR="006A67B3" w:rsidRDefault="006A67B3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</w:p>
    <w:p w14:paraId="4C224ABF" w14:textId="77777777" w:rsidR="006A67B3" w:rsidRDefault="00BF4566">
      <w:pPr>
        <w:numPr>
          <w:ilvl w:val="0"/>
          <w:numId w:val="2"/>
        </w:numPr>
        <w:spacing w:before="240" w:after="240" w:line="360" w:lineRule="auto"/>
        <w:jc w:val="both"/>
      </w:pPr>
      <w:r>
        <w:rPr>
          <w:rFonts w:ascii="Open Sans" w:eastAsia="Open Sans" w:hAnsi="Open Sans" w:cs="Open Sans"/>
          <w:b/>
        </w:rPr>
        <w:t>PRESENTES E SOFT DOLLAR</w:t>
      </w:r>
    </w:p>
    <w:p w14:paraId="5A9A5CDF" w14:textId="77777777" w:rsidR="006A67B3" w:rsidRPr="002C7CF7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 w:rsidRPr="002C7CF7">
        <w:rPr>
          <w:rFonts w:ascii="Open Sans" w:eastAsia="Open Sans" w:hAnsi="Open Sans" w:cs="Open Sans"/>
        </w:rPr>
        <w:t xml:space="preserve">Os colaboradores da </w:t>
      </w:r>
      <w:r w:rsidR="002C7CF7" w:rsidRPr="002C7CF7">
        <w:rPr>
          <w:rFonts w:ascii="Open Sans" w:eastAsia="Open Sans" w:hAnsi="Open Sans" w:cs="Open Sans"/>
        </w:rPr>
        <w:t xml:space="preserve">Azzurra Capital </w:t>
      </w:r>
      <w:r w:rsidRPr="002C7CF7">
        <w:rPr>
          <w:rFonts w:ascii="Open Sans" w:eastAsia="Open Sans" w:hAnsi="Open Sans" w:cs="Open Sans"/>
        </w:rPr>
        <w:t xml:space="preserve">poderão aceitar presentes, materiais, benefícios, cursos, viagens ou outras vantagens com valor não superior a R$ 300,00 (trezentos reais). Poderão ser aceitos benefícios econômicos de caráter não pecuniário, desde que esses benefícios não sejam incompatíveis com o tamanho e posição do relacionamento do fornecedor e desde que possam ser revertidos para a melhoria dos serviços prestados aos clientes, não comprometam a independência da gestão, não ensejem exclusividade ou volumes mínimos de negociação com prestadores de serviços e não violem o código de ética da </w:t>
      </w:r>
      <w:r w:rsidR="002C7CF7" w:rsidRPr="002C7CF7">
        <w:rPr>
          <w:rFonts w:ascii="Open Sans" w:eastAsia="Open Sans" w:hAnsi="Open Sans" w:cs="Open Sans"/>
        </w:rPr>
        <w:t>Azzurra Capital</w:t>
      </w:r>
      <w:r w:rsidRPr="002C7CF7">
        <w:rPr>
          <w:rFonts w:ascii="Open Sans" w:eastAsia="Open Sans" w:hAnsi="Open Sans" w:cs="Open Sans"/>
        </w:rPr>
        <w:t>.</w:t>
      </w:r>
    </w:p>
    <w:p w14:paraId="6EE9CEE5" w14:textId="77777777" w:rsidR="006A67B3" w:rsidRPr="002C7CF7" w:rsidRDefault="00BF4566">
      <w:pPr>
        <w:spacing w:before="120" w:after="120" w:line="311" w:lineRule="auto"/>
        <w:jc w:val="both"/>
        <w:rPr>
          <w:rFonts w:ascii="Open Sans" w:eastAsia="Open Sans" w:hAnsi="Open Sans" w:cs="Open Sans"/>
        </w:rPr>
      </w:pPr>
      <w:r w:rsidRPr="002C7CF7">
        <w:rPr>
          <w:rFonts w:ascii="Open Sans" w:eastAsia="Open Sans" w:hAnsi="Open Sans" w:cs="Open Sans"/>
        </w:rPr>
        <w:t xml:space="preserve">Ao avaliar se um benefício econômico oferecido por fornecedores é excessivo, o colaborador deverá verificar se a natureza deste é típica do tamanho e posição do relacionamento do cliente ou fornecedor. A pertinência de qualquer benefício econômico deve ser discutida com o Diretor de </w:t>
      </w:r>
      <w:proofErr w:type="spellStart"/>
      <w:r w:rsidRPr="002C7CF7">
        <w:rPr>
          <w:rFonts w:ascii="Open Sans" w:eastAsia="Open Sans" w:hAnsi="Open Sans" w:cs="Open Sans"/>
        </w:rPr>
        <w:t>Compliance</w:t>
      </w:r>
      <w:proofErr w:type="spellEnd"/>
      <w:r w:rsidRPr="002C7CF7">
        <w:rPr>
          <w:rFonts w:ascii="Open Sans" w:eastAsia="Open Sans" w:hAnsi="Open Sans" w:cs="Open Sans"/>
        </w:rPr>
        <w:t xml:space="preserve"> e Riscos.</w:t>
      </w:r>
    </w:p>
    <w:p w14:paraId="1AB31903" w14:textId="77777777" w:rsidR="006A67B3" w:rsidRDefault="006A67B3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</w:p>
    <w:p w14:paraId="63D33844" w14:textId="77777777" w:rsidR="006A67B3" w:rsidRDefault="00BF4566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lastRenderedPageBreak/>
        <w:t>SISTEMA DE COMPLIANCE</w:t>
      </w:r>
    </w:p>
    <w:p w14:paraId="3922810A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Em atendimento às diretrizes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, o acompanhamento qualitativo é realizado com a utilização do sistema </w:t>
      </w:r>
      <w:proofErr w:type="spellStart"/>
      <w:r>
        <w:rPr>
          <w:rFonts w:ascii="Open Sans" w:eastAsia="Open Sans" w:hAnsi="Open Sans" w:cs="Open Sans"/>
        </w:rPr>
        <w:t>Compliasset</w:t>
      </w:r>
      <w:proofErr w:type="spellEnd"/>
      <w:r>
        <w:rPr>
          <w:rFonts w:ascii="Open Sans" w:eastAsia="Open Sans" w:hAnsi="Open Sans" w:cs="Open Sans"/>
        </w:rPr>
        <w:t xml:space="preserve">. Por meio desse sistema são organizados as rotinas, agendamentos, atribuição de responsabilidades e prazos para cumprimento das tarefas relativas ao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>.</w:t>
      </w:r>
    </w:p>
    <w:p w14:paraId="7BBD2B87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 relação ao acompanhamento e monitoramento dos ativos financeiros, com vistas a manter a adesão às políticas de investimentos, regulamentos e regulações e veículos de investimentos, utiliza-se o sistema </w:t>
      </w:r>
      <w:proofErr w:type="spellStart"/>
      <w:r>
        <w:rPr>
          <w:rFonts w:ascii="Open Sans" w:eastAsia="Open Sans" w:hAnsi="Open Sans" w:cs="Open Sans"/>
        </w:rPr>
        <w:t>BRITech</w:t>
      </w:r>
      <w:proofErr w:type="spellEnd"/>
      <w:r>
        <w:rPr>
          <w:rFonts w:ascii="Open Sans" w:eastAsia="Open Sans" w:hAnsi="Open Sans" w:cs="Open Sans"/>
        </w:rPr>
        <w:t>, contando com os módulos TAS, PAS, MARKET RISK e LIQUID RISK.</w:t>
      </w:r>
    </w:p>
    <w:p w14:paraId="233BE483" w14:textId="77777777" w:rsidR="006A67B3" w:rsidRDefault="006A67B3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</w:p>
    <w:p w14:paraId="4BBA42D7" w14:textId="77777777" w:rsidR="006A67B3" w:rsidRDefault="00BF4566">
      <w:pPr>
        <w:numPr>
          <w:ilvl w:val="0"/>
          <w:numId w:val="2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MANUTENÇÃO DE ARQUIVOS</w:t>
      </w:r>
    </w:p>
    <w:p w14:paraId="43A3165C" w14:textId="77777777" w:rsidR="006A67B3" w:rsidRDefault="00BF4566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revisão de parâmetros e premissas referentes ao teor deste documento, bem como dos demais manuais e políticas, deve ocorrer em periodicidade anual ou mediante demanda, sendo de responsabilidade do Diretor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. Todos os documentos utilizados ou gerados para a sua manutenção deverão permanecer arquivados, em meio eletrônico ou físico, pelo prazo mínimo de 5 (cinco) anos, em conformidade com a recomendação expedida pelos órgãos regulatórios e com as políticas internas da </w:t>
      </w:r>
      <w:r w:rsidR="002C7CF7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>.</w:t>
      </w:r>
    </w:p>
    <w:p w14:paraId="629DA29C" w14:textId="77777777" w:rsidR="006A67B3" w:rsidRDefault="006A67B3">
      <w:pPr>
        <w:spacing w:before="240" w:after="240" w:line="360" w:lineRule="auto"/>
        <w:jc w:val="both"/>
        <w:rPr>
          <w:rFonts w:ascii="Open Sans" w:eastAsia="Open Sans" w:hAnsi="Open Sans" w:cs="Open Sans"/>
        </w:rPr>
      </w:pPr>
    </w:p>
    <w:p w14:paraId="547416AF" w14:textId="77777777" w:rsidR="006A67B3" w:rsidRDefault="006A67B3">
      <w:pPr>
        <w:rPr>
          <w:rFonts w:ascii="Open Sans" w:eastAsia="Open Sans" w:hAnsi="Open Sans" w:cs="Open Sans"/>
        </w:rPr>
      </w:pPr>
    </w:p>
    <w:p w14:paraId="04971384" w14:textId="77777777" w:rsidR="006A67B3" w:rsidRDefault="006A67B3"/>
    <w:sectPr w:rsidR="006A67B3" w:rsidSect="0046015B">
      <w:headerReference w:type="default" r:id="rId9"/>
      <w:footerReference w:type="default" r:id="rId10"/>
      <w:pgSz w:w="11907" w:h="16839"/>
      <w:pgMar w:top="2546" w:right="1134" w:bottom="1985" w:left="1418" w:header="0" w:footer="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9A89" w14:textId="77777777" w:rsidR="00896ED6" w:rsidRDefault="00896ED6">
      <w:r>
        <w:separator/>
      </w:r>
    </w:p>
  </w:endnote>
  <w:endnote w:type="continuationSeparator" w:id="0">
    <w:p w14:paraId="0893DBEF" w14:textId="77777777" w:rsidR="00896ED6" w:rsidRDefault="0089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F73C" w14:textId="0A2A77D2" w:rsidR="006A67B3" w:rsidRDefault="00BF4566" w:rsidP="004601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Página 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b/>
        <w:color w:val="000000"/>
        <w:sz w:val="18"/>
        <w:szCs w:val="18"/>
      </w:rPr>
      <w:instrText>PAGE</w:instrText>
    </w:r>
    <w:r>
      <w:rPr>
        <w:rFonts w:ascii="Tahoma" w:eastAsia="Tahoma" w:hAnsi="Tahoma" w:cs="Tahoma"/>
        <w:b/>
        <w:color w:val="000000"/>
        <w:sz w:val="18"/>
        <w:szCs w:val="18"/>
      </w:rPr>
      <w:fldChar w:fldCharType="separate"/>
    </w:r>
    <w:r w:rsidR="002C7CF7">
      <w:rPr>
        <w:rFonts w:ascii="Tahoma" w:eastAsia="Tahoma" w:hAnsi="Tahoma" w:cs="Tahoma"/>
        <w:b/>
        <w:noProof/>
        <w:color w:val="000000"/>
        <w:sz w:val="18"/>
        <w:szCs w:val="18"/>
      </w:rPr>
      <w:t>1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end"/>
    </w:r>
    <w:r>
      <w:rPr>
        <w:rFonts w:ascii="Tahoma" w:eastAsia="Tahoma" w:hAnsi="Tahoma" w:cs="Tahoma"/>
        <w:color w:val="000000"/>
        <w:sz w:val="18"/>
        <w:szCs w:val="18"/>
      </w:rPr>
      <w:t xml:space="preserve"> de 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b/>
        <w:color w:val="000000"/>
        <w:sz w:val="18"/>
        <w:szCs w:val="18"/>
      </w:rPr>
      <w:instrText>NUMPAGES</w:instrText>
    </w:r>
    <w:r>
      <w:rPr>
        <w:rFonts w:ascii="Tahoma" w:eastAsia="Tahoma" w:hAnsi="Tahoma" w:cs="Tahoma"/>
        <w:b/>
        <w:color w:val="000000"/>
        <w:sz w:val="18"/>
        <w:szCs w:val="18"/>
      </w:rPr>
      <w:fldChar w:fldCharType="separate"/>
    </w:r>
    <w:r w:rsidR="002C7CF7">
      <w:rPr>
        <w:rFonts w:ascii="Tahoma" w:eastAsia="Tahoma" w:hAnsi="Tahoma" w:cs="Tahoma"/>
        <w:b/>
        <w:noProof/>
        <w:color w:val="000000"/>
        <w:sz w:val="18"/>
        <w:szCs w:val="18"/>
      </w:rPr>
      <w:t>2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end"/>
    </w:r>
  </w:p>
  <w:p w14:paraId="7F8377BC" w14:textId="074B2EA9" w:rsidR="006A67B3" w:rsidRDefault="000347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1FE53D9" wp14:editId="5E771944">
              <wp:simplePos x="0" y="0"/>
              <wp:positionH relativeFrom="column">
                <wp:posOffset>-619125</wp:posOffset>
              </wp:positionH>
              <wp:positionV relativeFrom="paragraph">
                <wp:posOffset>150495</wp:posOffset>
              </wp:positionV>
              <wp:extent cx="6985000" cy="379095"/>
              <wp:effectExtent l="0" t="0" r="0" b="1905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5000" cy="3790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B0A231" w14:textId="77777777" w:rsidR="0046015B" w:rsidRDefault="000347BA" w:rsidP="0046015B">
                          <w:pPr>
                            <w:jc w:val="center"/>
                            <w:textDirection w:val="btLr"/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</w:pPr>
                          <w:r w:rsidRPr="0005745C"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7"/>
                            </w:rPr>
                            <w:t xml:space="preserve">São Paulo - SP </w:t>
                          </w:r>
                          <w:r w:rsidRPr="0005745C"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  <w:t>| (11) 3263-1089 | (11) 94446-6662</w:t>
                          </w:r>
                        </w:p>
                        <w:p w14:paraId="054232D6" w14:textId="7C1DF799" w:rsidR="000347BA" w:rsidRDefault="000347BA" w:rsidP="0046015B">
                          <w:pPr>
                            <w:jc w:val="center"/>
                            <w:textDirection w:val="btLr"/>
                          </w:pPr>
                          <w:r w:rsidRPr="0005745C"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  <w:t>R. Leopoldo Couto Magalhães Júnior, 110, Sala 81, Jardim Paulista - CEP 04542-000</w:t>
                          </w:r>
                        </w:p>
                        <w:p w14:paraId="41D6AB05" w14:textId="38D2ACF6" w:rsidR="006A67B3" w:rsidRDefault="006A67B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FE53D9" id="Retângulo 8" o:spid="_x0000_s1026" style="position:absolute;left:0;text-align:left;margin-left:-48.75pt;margin-top:11.85pt;width:550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" fillcolor="white [3201]" stroked="f">
              <v:textbox inset="2.53958mm,1.2694mm,2.53958mm,1.2694mm">
                <w:txbxContent>
                  <w:p w14:paraId="24B0A231" w14:textId="77777777" w:rsidR="0046015B" w:rsidRDefault="000347BA" w:rsidP="0046015B">
                    <w:pPr>
                      <w:jc w:val="center"/>
                      <w:textDirection w:val="btLr"/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</w:pPr>
                    <w:r w:rsidRPr="0005745C">
                      <w:rPr>
                        <w:rFonts w:ascii="Open Sans" w:eastAsia="Open Sans" w:hAnsi="Open Sans" w:cs="Open Sans"/>
                        <w:b/>
                        <w:color w:val="000000"/>
                        <w:sz w:val="17"/>
                      </w:rPr>
                      <w:t xml:space="preserve">São Paulo - SP </w:t>
                    </w:r>
                    <w:r w:rsidRPr="0005745C"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  <w:t>| (11) 3263-1089 | (11) 94446-6662</w:t>
                    </w:r>
                  </w:p>
                  <w:p w14:paraId="054232D6" w14:textId="7C1DF799" w:rsidR="000347BA" w:rsidRDefault="000347BA" w:rsidP="0046015B">
                    <w:pPr>
                      <w:jc w:val="center"/>
                      <w:textDirection w:val="btLr"/>
                    </w:pPr>
                    <w:r w:rsidRPr="0005745C"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  <w:t>R. Leopoldo Couto Magalhães Júnior, 110, Sala 81, Jardim Paulista - CEP 04542-000</w:t>
                    </w:r>
                  </w:p>
                  <w:p w14:paraId="41D6AB05" w14:textId="38D2ACF6" w:rsidR="006A67B3" w:rsidRDefault="006A67B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1955750" w14:textId="1ACEB6E5" w:rsidR="006A67B3" w:rsidRDefault="006A67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0943872F" w14:textId="77777777" w:rsidR="006A67B3" w:rsidRDefault="006A67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7EA5D7EF" w14:textId="77777777" w:rsidR="006A67B3" w:rsidRDefault="006A67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3B59DF11" w14:textId="77777777" w:rsidR="006A67B3" w:rsidRDefault="006A67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CBA0" w14:textId="77777777" w:rsidR="00896ED6" w:rsidRDefault="00896ED6">
      <w:r>
        <w:separator/>
      </w:r>
    </w:p>
  </w:footnote>
  <w:footnote w:type="continuationSeparator" w:id="0">
    <w:p w14:paraId="068BDA3C" w14:textId="77777777" w:rsidR="00896ED6" w:rsidRDefault="00896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22BE" w14:textId="77777777" w:rsidR="006A67B3" w:rsidRDefault="00BF45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-1134" w:hanging="1701"/>
      <w:jc w:val="right"/>
      <w:rPr>
        <w:color w:val="000000"/>
      </w:rPr>
    </w:pPr>
    <w:r>
      <w:rPr>
        <w:color w:val="000000"/>
      </w:rPr>
      <w:t xml:space="preserve">            </w:t>
    </w:r>
  </w:p>
  <w:p w14:paraId="0AAEC97D" w14:textId="77777777" w:rsidR="006A67B3" w:rsidRDefault="006A67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E747AA0" w14:textId="77777777" w:rsidR="006A67B3" w:rsidRDefault="006A67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5915180" w14:textId="77777777" w:rsidR="006A67B3" w:rsidRDefault="006A67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32F05B44" w14:textId="77777777" w:rsidR="006A67B3" w:rsidRDefault="00BF45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3F13F071" wp14:editId="439188DF">
          <wp:simplePos x="0" y="0"/>
          <wp:positionH relativeFrom="column">
            <wp:posOffset>2213610</wp:posOffset>
          </wp:positionH>
          <wp:positionV relativeFrom="paragraph">
            <wp:posOffset>635</wp:posOffset>
          </wp:positionV>
          <wp:extent cx="1321067" cy="656216"/>
          <wp:effectExtent l="0" t="0" r="0" b="4445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067" cy="65621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2C8A"/>
    <w:multiLevelType w:val="multilevel"/>
    <w:tmpl w:val="CD8AB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94A51"/>
    <w:multiLevelType w:val="multilevel"/>
    <w:tmpl w:val="B94C19F6"/>
    <w:lvl w:ilvl="0">
      <w:start w:val="1"/>
      <w:numFmt w:val="decimal"/>
      <w:lvlText w:val="%1."/>
      <w:lvlJc w:val="left"/>
      <w:pPr>
        <w:ind w:left="283" w:hanging="283"/>
      </w:pPr>
      <w:rPr>
        <w:rFonts w:ascii="Open Sans" w:eastAsia="Open Sans" w:hAnsi="Open Sans" w:cs="Open Sans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43722D"/>
    <w:multiLevelType w:val="multilevel"/>
    <w:tmpl w:val="E65E48DC"/>
    <w:lvl w:ilvl="0">
      <w:start w:val="1"/>
      <w:numFmt w:val="lowerRoman"/>
      <w:lvlText w:val="%1)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856CAD"/>
    <w:multiLevelType w:val="multilevel"/>
    <w:tmpl w:val="E8967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4101A2"/>
    <w:multiLevelType w:val="multilevel"/>
    <w:tmpl w:val="91561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1028181">
    <w:abstractNumId w:val="2"/>
  </w:num>
  <w:num w:numId="2" w16cid:durableId="496262851">
    <w:abstractNumId w:val="1"/>
  </w:num>
  <w:num w:numId="3" w16cid:durableId="1509717164">
    <w:abstractNumId w:val="0"/>
  </w:num>
  <w:num w:numId="4" w16cid:durableId="953903752">
    <w:abstractNumId w:val="4"/>
  </w:num>
  <w:num w:numId="5" w16cid:durableId="24072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B3"/>
    <w:rsid w:val="000347BA"/>
    <w:rsid w:val="0010533C"/>
    <w:rsid w:val="001C6860"/>
    <w:rsid w:val="002C7CF7"/>
    <w:rsid w:val="0046015B"/>
    <w:rsid w:val="005E7F5C"/>
    <w:rsid w:val="006A67B3"/>
    <w:rsid w:val="00896ED6"/>
    <w:rsid w:val="00981BE8"/>
    <w:rsid w:val="009F07AE"/>
    <w:rsid w:val="00BF4566"/>
    <w:rsid w:val="00FC0EB6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BB74A"/>
  <w15:docId w15:val="{B7808079-1260-884A-BDD5-B05A152E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25A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4125A"/>
    <w:pPr>
      <w:keepNext/>
      <w:jc w:val="center"/>
      <w:outlineLvl w:val="0"/>
    </w:pPr>
    <w:rPr>
      <w:rFonts w:ascii="Tahoma" w:hAnsi="Tahoma"/>
      <w:b/>
      <w:sz w:val="24"/>
      <w:szCs w:val="24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328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125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125A"/>
    <w:pPr>
      <w:keepNext/>
      <w:spacing w:line="360" w:lineRule="auto"/>
      <w:outlineLvl w:val="3"/>
    </w:pPr>
    <w:rPr>
      <w:rFonts w:ascii="Tahoma" w:hAnsi="Tahoma"/>
      <w:b/>
      <w:bCs/>
      <w:sz w:val="22"/>
      <w:szCs w:val="24"/>
      <w:lang w:val="x-none" w:eastAsia="x-non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704328"/>
    <w:pPr>
      <w:jc w:val="center"/>
    </w:pPr>
    <w:rPr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10B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0BE9"/>
  </w:style>
  <w:style w:type="paragraph" w:styleId="Rodap">
    <w:name w:val="footer"/>
    <w:basedOn w:val="Normal"/>
    <w:link w:val="RodapChar"/>
    <w:uiPriority w:val="99"/>
    <w:unhideWhenUsed/>
    <w:rsid w:val="00D10B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0BE9"/>
  </w:style>
  <w:style w:type="character" w:customStyle="1" w:styleId="Ttulo1Char">
    <w:name w:val="Título 1 Char"/>
    <w:link w:val="Ttulo1"/>
    <w:rsid w:val="0064125A"/>
    <w:rPr>
      <w:rFonts w:ascii="Tahoma" w:eastAsia="Times New Roman" w:hAnsi="Tahoma" w:cs="Times New Roman"/>
      <w:b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64125A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Ttulo4Char">
    <w:name w:val="Título 4 Char"/>
    <w:link w:val="Ttulo4"/>
    <w:rsid w:val="0064125A"/>
    <w:rPr>
      <w:rFonts w:ascii="Tahoma" w:eastAsia="Times New Roman" w:hAnsi="Tahoma" w:cs="Times New Roman"/>
      <w:b/>
      <w:bCs/>
      <w:szCs w:val="24"/>
      <w:lang w:val="x-none" w:eastAsia="x-none"/>
    </w:rPr>
  </w:style>
  <w:style w:type="paragraph" w:styleId="Recuodecorpodetexto">
    <w:name w:val="Body Text Indent"/>
    <w:basedOn w:val="Normal"/>
    <w:link w:val="RecuodecorpodetextoChar"/>
    <w:unhideWhenUsed/>
    <w:rsid w:val="0064125A"/>
    <w:pPr>
      <w:ind w:left="1080"/>
    </w:pPr>
    <w:rPr>
      <w:sz w:val="24"/>
    </w:rPr>
  </w:style>
  <w:style w:type="character" w:customStyle="1" w:styleId="RecuodecorpodetextoChar">
    <w:name w:val="Recuo de corpo de texto Char"/>
    <w:link w:val="Recuodecorpodetexto"/>
    <w:rsid w:val="0064125A"/>
    <w:rPr>
      <w:rFonts w:ascii="Times New Roman" w:eastAsia="Times New Roman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125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4125A"/>
    <w:rPr>
      <w:rFonts w:ascii="Segoe UI" w:eastAsia="Times New Roman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D47CF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3918EB"/>
  </w:style>
  <w:style w:type="character" w:styleId="Refdecomentrio">
    <w:name w:val="annotation reference"/>
    <w:uiPriority w:val="99"/>
    <w:semiHidden/>
    <w:unhideWhenUsed/>
    <w:rsid w:val="00287F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7FC4"/>
  </w:style>
  <w:style w:type="character" w:customStyle="1" w:styleId="TextodecomentrioChar">
    <w:name w:val="Texto de comentário Char"/>
    <w:link w:val="Textodecomentrio"/>
    <w:uiPriority w:val="99"/>
    <w:semiHidden/>
    <w:rsid w:val="00287FC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7FC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87FC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2Char">
    <w:name w:val="Título 2 Char"/>
    <w:link w:val="Ttulo2"/>
    <w:uiPriority w:val="9"/>
    <w:rsid w:val="00704328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apple-converted-space">
    <w:name w:val="apple-converted-space"/>
    <w:rsid w:val="00704328"/>
  </w:style>
  <w:style w:type="paragraph" w:styleId="Corpodetexto3">
    <w:name w:val="Body Text 3"/>
    <w:basedOn w:val="Normal"/>
    <w:link w:val="Corpodetexto3Char"/>
    <w:uiPriority w:val="99"/>
    <w:unhideWhenUsed/>
    <w:rsid w:val="007043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704328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Char">
    <w:name w:val="Título Char"/>
    <w:link w:val="Ttulo"/>
    <w:rsid w:val="00704328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EstiloArial10pt">
    <w:name w:val="Estilo Arial 10 pt"/>
    <w:basedOn w:val="Normal"/>
    <w:link w:val="EstiloArial10ptChar"/>
    <w:autoRedefine/>
    <w:rsid w:val="00704328"/>
    <w:pPr>
      <w:widowControl w:val="0"/>
      <w:adjustRightInd w:val="0"/>
      <w:spacing w:before="20" w:after="20"/>
      <w:ind w:left="170" w:hanging="170"/>
      <w:textAlignment w:val="baseline"/>
    </w:pPr>
    <w:rPr>
      <w:rFonts w:ascii="Arial" w:hAnsi="Arial" w:cs="Arial"/>
      <w:lang w:eastAsia="pt-BR"/>
    </w:rPr>
  </w:style>
  <w:style w:type="character" w:customStyle="1" w:styleId="EstiloArial10ptChar">
    <w:name w:val="Estilo Arial 10 pt Char"/>
    <w:link w:val="EstiloArial10pt"/>
    <w:rsid w:val="00704328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EstiloEstiloJustificadoNegrito">
    <w:name w:val="Estilo Estilo Justificado + Negrito"/>
    <w:basedOn w:val="Normal"/>
    <w:link w:val="EstiloEstiloJustificadoNegritoChar"/>
    <w:rsid w:val="00704328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bCs/>
      <w:lang w:eastAsia="pt-BR"/>
    </w:rPr>
  </w:style>
  <w:style w:type="character" w:customStyle="1" w:styleId="EstiloEstiloJustificadoNegritoChar">
    <w:name w:val="Estilo Estilo Justificado + Negrito Char"/>
    <w:link w:val="EstiloEstiloJustificadoNegrito"/>
    <w:rsid w:val="00704328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Forte">
    <w:name w:val="Strong"/>
    <w:uiPriority w:val="22"/>
    <w:qFormat/>
    <w:rsid w:val="00C50AF0"/>
    <w:rPr>
      <w:b/>
      <w:b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05446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805446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7DA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styleId="Refdenotaderodap">
    <w:name w:val="footnote reference"/>
    <w:rsid w:val="004A40B8"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7XJRMYg19TuM+NRJ4eCYMMUYg==">AMUW2mUbvADWD9uyQQiEXJMCabiqT3F3yBXgMwjqKNvQQN5Nn9Ay/A0oXvTQGSa7yr9NqhoE44LDPXKqskfBlIznjhkQbdbIqea/JHAT2W7FSN4acLDX6tQ=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EFA72C-FAC4-1E46-8829-1D36E7F6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1868</Words>
  <Characters>10093</Characters>
  <Application>Microsoft Office Word</Application>
  <DocSecurity>0</DocSecurity>
  <Lines>84</Lines>
  <Paragraphs>23</Paragraphs>
  <ScaleCrop>false</ScaleCrop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Rafaella Bruna</dc:creator>
  <cp:lastModifiedBy>Microsoft Office User</cp:lastModifiedBy>
  <cp:revision>5</cp:revision>
  <dcterms:created xsi:type="dcterms:W3CDTF">2022-10-28T19:46:00Z</dcterms:created>
  <dcterms:modified xsi:type="dcterms:W3CDTF">2022-10-31T19:43:00Z</dcterms:modified>
</cp:coreProperties>
</file>