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E13C8" w14:textId="77777777" w:rsidR="00602188" w:rsidRDefault="00602188">
      <w:pPr>
        <w:spacing w:line="360" w:lineRule="auto"/>
        <w:rPr>
          <w:rFonts w:ascii="Open Sans" w:eastAsia="Open Sans" w:hAnsi="Open Sans" w:cs="Open Sans"/>
        </w:rPr>
      </w:pPr>
    </w:p>
    <w:p w14:paraId="4179B41A" w14:textId="77777777" w:rsidR="00602188" w:rsidRDefault="00EF2528">
      <w:pPr>
        <w:spacing w:line="360" w:lineRule="auto"/>
        <w:jc w:val="center"/>
        <w:rPr>
          <w:rFonts w:ascii="Open Sans" w:eastAsia="Open Sans" w:hAnsi="Open Sans" w:cs="Open Sans"/>
          <w:b/>
        </w:rPr>
      </w:pPr>
      <w:r>
        <w:rPr>
          <w:rFonts w:ascii="Open Sans" w:eastAsia="Open Sans" w:hAnsi="Open Sans" w:cs="Open Sans"/>
          <w:b/>
        </w:rPr>
        <w:t>POLÍTICA DE GESTÃO DE RISCOS</w:t>
      </w:r>
    </w:p>
    <w:p w14:paraId="74FF181E" w14:textId="77777777" w:rsidR="001E24A0" w:rsidRDefault="001E24A0" w:rsidP="001E24A0">
      <w:pPr>
        <w:spacing w:line="360" w:lineRule="auto"/>
        <w:jc w:val="center"/>
        <w:rPr>
          <w:rFonts w:ascii="Open Sans" w:eastAsia="Open Sans" w:hAnsi="Open Sans" w:cs="Open Sans"/>
        </w:rPr>
      </w:pPr>
      <w:r w:rsidRPr="003A0A1D">
        <w:rPr>
          <w:rFonts w:ascii="Open Sans" w:eastAsia="Open Sans" w:hAnsi="Open Sans" w:cs="Open Sans"/>
        </w:rPr>
        <w:t>AZZURRA CAPITAL GESTORA DE RECURSOS LTDA</w:t>
      </w:r>
      <w:r>
        <w:rPr>
          <w:rFonts w:ascii="Open Sans" w:eastAsia="Open Sans" w:hAnsi="Open Sans" w:cs="Open Sans"/>
        </w:rPr>
        <w:t>.</w:t>
      </w:r>
    </w:p>
    <w:p w14:paraId="794D2C75" w14:textId="77777777" w:rsidR="001E24A0" w:rsidRDefault="001E24A0" w:rsidP="001E24A0">
      <w:pPr>
        <w:spacing w:line="360" w:lineRule="auto"/>
        <w:jc w:val="center"/>
        <w:rPr>
          <w:rFonts w:ascii="Open Sans" w:eastAsia="Open Sans" w:hAnsi="Open Sans" w:cs="Open Sans"/>
        </w:rPr>
      </w:pPr>
      <w:r>
        <w:rPr>
          <w:rFonts w:ascii="Open Sans" w:eastAsia="Open Sans" w:hAnsi="Open Sans" w:cs="Open Sans"/>
        </w:rPr>
        <w:t>(Azzurra Capital)</w:t>
      </w:r>
    </w:p>
    <w:p w14:paraId="20AF848F" w14:textId="77777777" w:rsidR="00602188" w:rsidRDefault="00602188">
      <w:pPr>
        <w:spacing w:line="360" w:lineRule="auto"/>
        <w:jc w:val="center"/>
        <w:rPr>
          <w:rFonts w:ascii="Open Sans" w:eastAsia="Open Sans" w:hAnsi="Open Sans" w:cs="Open Sans"/>
        </w:rPr>
      </w:pPr>
    </w:p>
    <w:p w14:paraId="087D25C3" w14:textId="77777777" w:rsidR="00602188" w:rsidRDefault="00EF2528">
      <w:pPr>
        <w:numPr>
          <w:ilvl w:val="0"/>
          <w:numId w:val="2"/>
        </w:numPr>
        <w:spacing w:before="240" w:after="240" w:line="360" w:lineRule="auto"/>
        <w:jc w:val="both"/>
        <w:rPr>
          <w:rFonts w:ascii="Open Sans" w:eastAsia="Open Sans" w:hAnsi="Open Sans" w:cs="Open Sans"/>
        </w:rPr>
      </w:pPr>
      <w:r>
        <w:rPr>
          <w:rFonts w:ascii="Open Sans" w:eastAsia="Open Sans" w:hAnsi="Open Sans" w:cs="Open Sans"/>
          <w:b/>
        </w:rPr>
        <w:t>INTRODUÇÃO</w:t>
      </w:r>
    </w:p>
    <w:p w14:paraId="441E6C14" w14:textId="77777777" w:rsidR="00602188" w:rsidRDefault="00EF2528">
      <w:pPr>
        <w:spacing w:line="360" w:lineRule="auto"/>
        <w:jc w:val="both"/>
        <w:rPr>
          <w:rFonts w:ascii="Open Sans" w:eastAsia="Open Sans" w:hAnsi="Open Sans" w:cs="Open Sans"/>
        </w:rPr>
      </w:pPr>
      <w:r>
        <w:rPr>
          <w:rFonts w:ascii="Open Sans" w:eastAsia="Open Sans" w:hAnsi="Open Sans" w:cs="Open Sans"/>
        </w:rPr>
        <w:t xml:space="preserve">A presente Política de Gestão de Riscos ("Política") aborda as políticas de Risco de Mercado, Risco de Liquidez, Risco de Concentração, Riscos de Contraparte, Riscos Operacionais e Risco de Crédito de acordo com a Resolução CVM nº 21/2021. Tem como objetivo estabelecer as diretrizes e os controles utilizados pela </w:t>
      </w:r>
      <w:r w:rsidR="001E24A0">
        <w:rPr>
          <w:rFonts w:ascii="Open Sans" w:eastAsia="Open Sans" w:hAnsi="Open Sans" w:cs="Open Sans"/>
        </w:rPr>
        <w:t xml:space="preserve">Azzurra Capital </w:t>
      </w:r>
      <w:r>
        <w:rPr>
          <w:rFonts w:ascii="Open Sans" w:eastAsia="Open Sans" w:hAnsi="Open Sans" w:cs="Open Sans"/>
        </w:rPr>
        <w:t>para o gerenciamento e monitoramento dos riscos inerentes às carteiras de valores mobiliários e fundos de investimento.</w:t>
      </w:r>
    </w:p>
    <w:p w14:paraId="5E25049E" w14:textId="77777777" w:rsidR="00602188" w:rsidRDefault="00602188">
      <w:pPr>
        <w:spacing w:line="360" w:lineRule="auto"/>
        <w:rPr>
          <w:rFonts w:ascii="Open Sans" w:eastAsia="Open Sans" w:hAnsi="Open Sans" w:cs="Open Sans"/>
        </w:rPr>
      </w:pPr>
    </w:p>
    <w:p w14:paraId="4D2F1AEF" w14:textId="77777777" w:rsidR="00602188" w:rsidRDefault="00EF2528">
      <w:pPr>
        <w:numPr>
          <w:ilvl w:val="0"/>
          <w:numId w:val="2"/>
        </w:numPr>
        <w:spacing w:before="240" w:after="240" w:line="360" w:lineRule="auto"/>
        <w:jc w:val="both"/>
        <w:rPr>
          <w:rFonts w:ascii="Open Sans" w:eastAsia="Open Sans" w:hAnsi="Open Sans" w:cs="Open Sans"/>
        </w:rPr>
      </w:pPr>
      <w:r>
        <w:rPr>
          <w:rFonts w:ascii="Open Sans" w:eastAsia="Open Sans" w:hAnsi="Open Sans" w:cs="Open Sans"/>
          <w:b/>
        </w:rPr>
        <w:t>TIPOS DE RISCO</w:t>
      </w:r>
    </w:p>
    <w:p w14:paraId="23290E21" w14:textId="77777777" w:rsidR="00602188" w:rsidRDefault="00EF2528">
      <w:pPr>
        <w:spacing w:line="360" w:lineRule="auto"/>
        <w:jc w:val="both"/>
        <w:rPr>
          <w:rFonts w:ascii="Open Sans" w:eastAsia="Open Sans" w:hAnsi="Open Sans" w:cs="Open Sans"/>
        </w:rPr>
      </w:pPr>
      <w:r>
        <w:rPr>
          <w:rFonts w:ascii="Open Sans" w:eastAsia="Open Sans" w:hAnsi="Open Sans" w:cs="Open Sans"/>
        </w:rPr>
        <w:t xml:space="preserve">A </w:t>
      </w:r>
      <w:r w:rsidR="001E24A0">
        <w:rPr>
          <w:rFonts w:ascii="Open Sans" w:eastAsia="Open Sans" w:hAnsi="Open Sans" w:cs="Open Sans"/>
        </w:rPr>
        <w:t xml:space="preserve">Azzurra Capital </w:t>
      </w:r>
      <w:r>
        <w:rPr>
          <w:rFonts w:ascii="Open Sans" w:eastAsia="Open Sans" w:hAnsi="Open Sans" w:cs="Open Sans"/>
        </w:rPr>
        <w:t>avalia, mensura e monitora os riscos descritos abaixo, inerentes à sua atividade de gestão, dentro das melhores práticas de mercado:</w:t>
      </w:r>
    </w:p>
    <w:p w14:paraId="790FD084" w14:textId="77777777" w:rsidR="00602188" w:rsidRDefault="00EF2528">
      <w:pPr>
        <w:numPr>
          <w:ilvl w:val="0"/>
          <w:numId w:val="3"/>
        </w:numPr>
        <w:spacing w:line="360" w:lineRule="auto"/>
        <w:jc w:val="both"/>
        <w:rPr>
          <w:rFonts w:ascii="Open Sans" w:eastAsia="Open Sans" w:hAnsi="Open Sans" w:cs="Open Sans"/>
        </w:rPr>
      </w:pPr>
      <w:r>
        <w:rPr>
          <w:rFonts w:ascii="Open Sans" w:eastAsia="Open Sans" w:hAnsi="Open Sans" w:cs="Open Sans"/>
        </w:rPr>
        <w:t>Risco de Mercado: Perdas potenciais causadas pela mudança de preços dos ativos;</w:t>
      </w:r>
    </w:p>
    <w:p w14:paraId="6EBF518F" w14:textId="77777777" w:rsidR="00602188" w:rsidRDefault="00EF2528">
      <w:pPr>
        <w:numPr>
          <w:ilvl w:val="0"/>
          <w:numId w:val="3"/>
        </w:numPr>
        <w:spacing w:line="360" w:lineRule="auto"/>
        <w:jc w:val="both"/>
        <w:rPr>
          <w:rFonts w:ascii="Open Sans" w:eastAsia="Open Sans" w:hAnsi="Open Sans" w:cs="Open Sans"/>
        </w:rPr>
      </w:pPr>
      <w:r>
        <w:rPr>
          <w:rFonts w:ascii="Open Sans" w:eastAsia="Open Sans" w:hAnsi="Open Sans" w:cs="Open Sans"/>
        </w:rPr>
        <w:t>Risco de Liquidez: Perdas potenciais causadas pela impossibilidade de gerenciar o vencimento das obrigações com os prazos esperados de realização dos ativos, podendo gerar dificuldade na realização imediata dos ativos a taxas ou preços razoáveis. O Risco de Liquidez pode estar associado ao Risco de Concentração;</w:t>
      </w:r>
    </w:p>
    <w:p w14:paraId="3CA8D3A9" w14:textId="77777777" w:rsidR="00602188" w:rsidRDefault="00EF2528">
      <w:pPr>
        <w:numPr>
          <w:ilvl w:val="0"/>
          <w:numId w:val="3"/>
        </w:numPr>
        <w:spacing w:line="360" w:lineRule="auto"/>
        <w:jc w:val="both"/>
        <w:rPr>
          <w:rFonts w:ascii="Open Sans" w:eastAsia="Open Sans" w:hAnsi="Open Sans" w:cs="Open Sans"/>
        </w:rPr>
      </w:pPr>
      <w:r>
        <w:rPr>
          <w:rFonts w:ascii="Open Sans" w:eastAsia="Open Sans" w:hAnsi="Open Sans" w:cs="Open Sans"/>
        </w:rPr>
        <w:t>Risco de Concentração: Perdas potenciais causadas pela não-diversificação e/ou alta correlação do comportamento dos ativos nas carteiras de investimento;</w:t>
      </w:r>
    </w:p>
    <w:p w14:paraId="33CCC5D9" w14:textId="77777777" w:rsidR="00602188" w:rsidRDefault="00EF2528">
      <w:pPr>
        <w:numPr>
          <w:ilvl w:val="0"/>
          <w:numId w:val="3"/>
        </w:numPr>
        <w:spacing w:line="360" w:lineRule="auto"/>
        <w:jc w:val="both"/>
        <w:rPr>
          <w:rFonts w:ascii="Open Sans" w:eastAsia="Open Sans" w:hAnsi="Open Sans" w:cs="Open Sans"/>
        </w:rPr>
      </w:pPr>
      <w:r>
        <w:rPr>
          <w:rFonts w:ascii="Open Sans" w:eastAsia="Open Sans" w:hAnsi="Open Sans" w:cs="Open Sans"/>
        </w:rPr>
        <w:t xml:space="preserve">Risco Operacional: Perdas potenciais causadas pela exposição a danos financeiros ou outros advindos de falha de processos, pessoas e sistemas internos; </w:t>
      </w:r>
    </w:p>
    <w:p w14:paraId="51CEEC4C" w14:textId="77777777" w:rsidR="00602188" w:rsidRDefault="00EF2528">
      <w:pPr>
        <w:numPr>
          <w:ilvl w:val="0"/>
          <w:numId w:val="3"/>
        </w:numPr>
        <w:spacing w:line="360" w:lineRule="auto"/>
        <w:jc w:val="both"/>
        <w:rPr>
          <w:rFonts w:ascii="Open Sans" w:eastAsia="Open Sans" w:hAnsi="Open Sans" w:cs="Open Sans"/>
        </w:rPr>
      </w:pPr>
      <w:r>
        <w:rPr>
          <w:rFonts w:ascii="Open Sans" w:eastAsia="Open Sans" w:hAnsi="Open Sans" w:cs="Open Sans"/>
        </w:rPr>
        <w:t>​​Risco de Crédito: Perdas potenciais causadas pelo não cumprimento das obrigações financeiras pelo tomador nos prazos pactuados; e</w:t>
      </w:r>
    </w:p>
    <w:p w14:paraId="0A4C10FB" w14:textId="77777777" w:rsidR="00602188" w:rsidRDefault="00EF2528">
      <w:pPr>
        <w:numPr>
          <w:ilvl w:val="0"/>
          <w:numId w:val="3"/>
        </w:numPr>
        <w:spacing w:line="360" w:lineRule="auto"/>
        <w:jc w:val="both"/>
        <w:rPr>
          <w:rFonts w:ascii="Open Sans" w:eastAsia="Open Sans" w:hAnsi="Open Sans" w:cs="Open Sans"/>
        </w:rPr>
      </w:pPr>
      <w:r>
        <w:rPr>
          <w:rFonts w:ascii="Open Sans" w:eastAsia="Open Sans" w:hAnsi="Open Sans" w:cs="Open Sans"/>
        </w:rPr>
        <w:t>Risco de Contraparte: Perdas potenciais causadas pelo não cumprimento das obrigações referentes à liquidação de operações envolvendo ativos financeiros.</w:t>
      </w:r>
    </w:p>
    <w:p w14:paraId="233419D8" w14:textId="77777777" w:rsidR="00602188" w:rsidRDefault="00EF2528">
      <w:pPr>
        <w:numPr>
          <w:ilvl w:val="0"/>
          <w:numId w:val="2"/>
        </w:numPr>
        <w:spacing w:before="240" w:after="240" w:line="360" w:lineRule="auto"/>
        <w:jc w:val="both"/>
        <w:rPr>
          <w:rFonts w:ascii="Open Sans" w:eastAsia="Open Sans" w:hAnsi="Open Sans" w:cs="Open Sans"/>
        </w:rPr>
      </w:pPr>
      <w:r>
        <w:rPr>
          <w:rFonts w:ascii="Open Sans" w:eastAsia="Open Sans" w:hAnsi="Open Sans" w:cs="Open Sans"/>
          <w:b/>
        </w:rPr>
        <w:lastRenderedPageBreak/>
        <w:t>GESTÃO DE RISCOS</w:t>
      </w:r>
    </w:p>
    <w:p w14:paraId="20D030D6" w14:textId="77777777" w:rsidR="00602188" w:rsidRDefault="00EF2528">
      <w:pPr>
        <w:spacing w:line="360" w:lineRule="auto"/>
        <w:jc w:val="both"/>
        <w:rPr>
          <w:rFonts w:ascii="Open Sans" w:eastAsia="Open Sans" w:hAnsi="Open Sans" w:cs="Open Sans"/>
          <w:b/>
          <w:u w:val="single"/>
        </w:rPr>
      </w:pPr>
      <w:r>
        <w:rPr>
          <w:rFonts w:ascii="Open Sans" w:eastAsia="Open Sans" w:hAnsi="Open Sans" w:cs="Open Sans"/>
          <w:b/>
          <w:u w:val="single"/>
        </w:rPr>
        <w:t>Política de Risco de Mercado:</w:t>
      </w:r>
    </w:p>
    <w:p w14:paraId="6DEE5283" w14:textId="77777777" w:rsidR="00602188" w:rsidRDefault="00EF2528">
      <w:pPr>
        <w:spacing w:line="360" w:lineRule="auto"/>
        <w:jc w:val="both"/>
        <w:rPr>
          <w:rFonts w:ascii="Open Sans" w:eastAsia="Open Sans" w:hAnsi="Open Sans" w:cs="Open Sans"/>
        </w:rPr>
      </w:pPr>
      <w:r>
        <w:rPr>
          <w:rFonts w:ascii="Open Sans" w:eastAsia="Open Sans" w:hAnsi="Open Sans" w:cs="Open Sans"/>
        </w:rPr>
        <w:t xml:space="preserve">Tem como objetivo otimizar a relação risco-retorno com o uso de técnicas adequadas permitindo a alocação de recursos ao nível de risco desejado. O gerenciamento do Risco de Mercado utiliza dois métodos amplamente utilizados no mercado de capitais: o </w:t>
      </w:r>
      <w:proofErr w:type="spellStart"/>
      <w:r>
        <w:rPr>
          <w:rFonts w:ascii="Open Sans" w:eastAsia="Open Sans" w:hAnsi="Open Sans" w:cs="Open Sans"/>
          <w:i/>
        </w:rPr>
        <w:t>Value</w:t>
      </w:r>
      <w:proofErr w:type="spellEnd"/>
      <w:r>
        <w:rPr>
          <w:rFonts w:ascii="Open Sans" w:eastAsia="Open Sans" w:hAnsi="Open Sans" w:cs="Open Sans"/>
          <w:i/>
        </w:rPr>
        <w:t xml:space="preserve"> </w:t>
      </w:r>
      <w:proofErr w:type="spellStart"/>
      <w:r>
        <w:rPr>
          <w:rFonts w:ascii="Open Sans" w:eastAsia="Open Sans" w:hAnsi="Open Sans" w:cs="Open Sans"/>
          <w:i/>
        </w:rPr>
        <w:t>at</w:t>
      </w:r>
      <w:proofErr w:type="spellEnd"/>
      <w:r>
        <w:rPr>
          <w:rFonts w:ascii="Open Sans" w:eastAsia="Open Sans" w:hAnsi="Open Sans" w:cs="Open Sans"/>
          <w:i/>
        </w:rPr>
        <w:t xml:space="preserve"> Risk</w:t>
      </w:r>
      <w:r>
        <w:rPr>
          <w:rFonts w:ascii="Open Sans" w:eastAsia="Open Sans" w:hAnsi="Open Sans" w:cs="Open Sans"/>
        </w:rPr>
        <w:t xml:space="preserve"> (</w:t>
      </w:r>
      <w:proofErr w:type="spellStart"/>
      <w:r>
        <w:rPr>
          <w:rFonts w:ascii="Open Sans" w:eastAsia="Open Sans" w:hAnsi="Open Sans" w:cs="Open Sans"/>
        </w:rPr>
        <w:t>VaR</w:t>
      </w:r>
      <w:proofErr w:type="spellEnd"/>
      <w:r>
        <w:rPr>
          <w:rFonts w:ascii="Open Sans" w:eastAsia="Open Sans" w:hAnsi="Open Sans" w:cs="Open Sans"/>
        </w:rPr>
        <w:t xml:space="preserve">) e o </w:t>
      </w:r>
      <w:r>
        <w:rPr>
          <w:rFonts w:ascii="Open Sans" w:eastAsia="Open Sans" w:hAnsi="Open Sans" w:cs="Open Sans"/>
          <w:i/>
        </w:rPr>
        <w:t xml:space="preserve">Stress </w:t>
      </w:r>
      <w:proofErr w:type="spellStart"/>
      <w:r>
        <w:rPr>
          <w:rFonts w:ascii="Open Sans" w:eastAsia="Open Sans" w:hAnsi="Open Sans" w:cs="Open Sans"/>
          <w:i/>
        </w:rPr>
        <w:t>Testing</w:t>
      </w:r>
      <w:proofErr w:type="spellEnd"/>
      <w:r>
        <w:rPr>
          <w:rFonts w:ascii="Open Sans" w:eastAsia="Open Sans" w:hAnsi="Open Sans" w:cs="Open Sans"/>
        </w:rPr>
        <w:t>.</w:t>
      </w:r>
    </w:p>
    <w:p w14:paraId="6AE06472" w14:textId="77777777" w:rsidR="00602188" w:rsidRDefault="00EF2528">
      <w:pPr>
        <w:spacing w:line="360" w:lineRule="auto"/>
        <w:jc w:val="both"/>
        <w:rPr>
          <w:rFonts w:ascii="Open Sans" w:eastAsia="Open Sans" w:hAnsi="Open Sans" w:cs="Open Sans"/>
        </w:rPr>
      </w:pPr>
      <w:proofErr w:type="spellStart"/>
      <w:r>
        <w:rPr>
          <w:rFonts w:ascii="Open Sans" w:eastAsia="Open Sans" w:hAnsi="Open Sans" w:cs="Open Sans"/>
          <w:b/>
          <w:i/>
          <w:u w:val="single"/>
        </w:rPr>
        <w:t>Value</w:t>
      </w:r>
      <w:proofErr w:type="spellEnd"/>
      <w:r>
        <w:rPr>
          <w:rFonts w:ascii="Open Sans" w:eastAsia="Open Sans" w:hAnsi="Open Sans" w:cs="Open Sans"/>
          <w:b/>
          <w:i/>
          <w:u w:val="single"/>
        </w:rPr>
        <w:t xml:space="preserve"> </w:t>
      </w:r>
      <w:proofErr w:type="spellStart"/>
      <w:r>
        <w:rPr>
          <w:rFonts w:ascii="Open Sans" w:eastAsia="Open Sans" w:hAnsi="Open Sans" w:cs="Open Sans"/>
          <w:b/>
          <w:i/>
          <w:u w:val="single"/>
        </w:rPr>
        <w:t>at</w:t>
      </w:r>
      <w:proofErr w:type="spellEnd"/>
      <w:r>
        <w:rPr>
          <w:rFonts w:ascii="Open Sans" w:eastAsia="Open Sans" w:hAnsi="Open Sans" w:cs="Open Sans"/>
          <w:b/>
          <w:i/>
          <w:u w:val="single"/>
        </w:rPr>
        <w:t xml:space="preserve"> Risk</w:t>
      </w:r>
      <w:r>
        <w:rPr>
          <w:rFonts w:ascii="Open Sans" w:eastAsia="Open Sans" w:hAnsi="Open Sans" w:cs="Open Sans"/>
          <w:b/>
          <w:u w:val="single"/>
        </w:rPr>
        <w:t xml:space="preserve"> (</w:t>
      </w:r>
      <w:proofErr w:type="spellStart"/>
      <w:r>
        <w:rPr>
          <w:rFonts w:ascii="Open Sans" w:eastAsia="Open Sans" w:hAnsi="Open Sans" w:cs="Open Sans"/>
          <w:b/>
          <w:u w:val="single"/>
        </w:rPr>
        <w:t>VaR</w:t>
      </w:r>
      <w:proofErr w:type="spellEnd"/>
      <w:r>
        <w:rPr>
          <w:rFonts w:ascii="Open Sans" w:eastAsia="Open Sans" w:hAnsi="Open Sans" w:cs="Open Sans"/>
          <w:b/>
          <w:u w:val="single"/>
        </w:rPr>
        <w:t>):</w:t>
      </w:r>
      <w:r>
        <w:rPr>
          <w:rFonts w:ascii="Open Sans" w:eastAsia="Open Sans" w:hAnsi="Open Sans" w:cs="Open Sans"/>
        </w:rPr>
        <w:t xml:space="preserve"> É definido como a perda máxima esperada dado um horizonte de tempo e um intervalo de confiança pré-determinado. O </w:t>
      </w:r>
      <w:proofErr w:type="spellStart"/>
      <w:r>
        <w:rPr>
          <w:rFonts w:ascii="Open Sans" w:eastAsia="Open Sans" w:hAnsi="Open Sans" w:cs="Open Sans"/>
        </w:rPr>
        <w:t>VaR</w:t>
      </w:r>
      <w:proofErr w:type="spellEnd"/>
      <w:r>
        <w:rPr>
          <w:rFonts w:ascii="Open Sans" w:eastAsia="Open Sans" w:hAnsi="Open Sans" w:cs="Open Sans"/>
        </w:rPr>
        <w:t xml:space="preserve"> é uma das métricas de risco de mercado mais utilizadas e se caracteriza por estimar o risco de mercado a partir das oscilações existentes nos preços dos ativos, portanto uma medida que olha para o retrospecto passado do fundo.  Pode ser calculado por três métodos: paramétrico, histórico e simulação de Monte Carlo. Em todos os casos o período para análise (perda máxima no período) é de 1 (um) dia com intervalo de confiança de 95%.</w:t>
      </w:r>
    </w:p>
    <w:p w14:paraId="3D7A692B" w14:textId="77777777" w:rsidR="00602188" w:rsidRDefault="00EF2528">
      <w:pPr>
        <w:spacing w:line="360" w:lineRule="auto"/>
        <w:jc w:val="both"/>
        <w:rPr>
          <w:rFonts w:ascii="Open Sans" w:eastAsia="Open Sans" w:hAnsi="Open Sans" w:cs="Open Sans"/>
        </w:rPr>
      </w:pPr>
      <w:r>
        <w:rPr>
          <w:rFonts w:ascii="Open Sans" w:eastAsia="Open Sans" w:hAnsi="Open Sans" w:cs="Open Sans"/>
          <w:b/>
          <w:i/>
          <w:u w:val="single"/>
        </w:rPr>
        <w:t>Stress Test:</w:t>
      </w:r>
      <w:r>
        <w:rPr>
          <w:rFonts w:ascii="Open Sans" w:eastAsia="Open Sans" w:hAnsi="Open Sans" w:cs="Open Sans"/>
        </w:rPr>
        <w:t xml:space="preserve"> Consiste em verificar os retornos das carteiras a partir de cenários específicos onde as taxas e preços recebem choques relevantes a partir de cenários extremos de viés otimista e pessimista. O teste de estresse consegue complementar a informação do </w:t>
      </w:r>
      <w:proofErr w:type="spellStart"/>
      <w:r>
        <w:rPr>
          <w:rFonts w:ascii="Open Sans" w:eastAsia="Open Sans" w:hAnsi="Open Sans" w:cs="Open Sans"/>
        </w:rPr>
        <w:t>VaR</w:t>
      </w:r>
      <w:proofErr w:type="spellEnd"/>
      <w:r>
        <w:rPr>
          <w:rFonts w:ascii="Open Sans" w:eastAsia="Open Sans" w:hAnsi="Open Sans" w:cs="Open Sans"/>
        </w:rPr>
        <w:t xml:space="preserve"> uma vez que não trabalha com informações passadas, mas sim com estimativas de cenários, mesmo que os cenários sejam baseados em momentos de crises ou euforias evidenciadas no mercado.</w:t>
      </w:r>
    </w:p>
    <w:p w14:paraId="1C2164EC" w14:textId="77777777" w:rsidR="00602188" w:rsidRDefault="00602188">
      <w:pPr>
        <w:spacing w:line="360" w:lineRule="auto"/>
        <w:jc w:val="both"/>
        <w:rPr>
          <w:rFonts w:ascii="Open Sans" w:eastAsia="Open Sans" w:hAnsi="Open Sans" w:cs="Open Sans"/>
        </w:rPr>
      </w:pPr>
    </w:p>
    <w:p w14:paraId="48298474" w14:textId="77777777" w:rsidR="00602188" w:rsidRDefault="00EF2528">
      <w:pPr>
        <w:spacing w:line="360" w:lineRule="auto"/>
        <w:jc w:val="both"/>
        <w:rPr>
          <w:rFonts w:ascii="Open Sans" w:eastAsia="Open Sans" w:hAnsi="Open Sans" w:cs="Open Sans"/>
        </w:rPr>
      </w:pPr>
      <w:r>
        <w:rPr>
          <w:rFonts w:ascii="Open Sans" w:eastAsia="Open Sans" w:hAnsi="Open Sans" w:cs="Open Sans"/>
          <w:b/>
          <w:u w:val="single"/>
        </w:rPr>
        <w:t>Política de Risco de Liquidez:</w:t>
      </w:r>
    </w:p>
    <w:p w14:paraId="7BCB445B" w14:textId="77777777" w:rsidR="00602188" w:rsidRDefault="00EF2528">
      <w:pPr>
        <w:spacing w:line="360" w:lineRule="auto"/>
        <w:jc w:val="both"/>
        <w:rPr>
          <w:rFonts w:ascii="Open Sans" w:eastAsia="Open Sans" w:hAnsi="Open Sans" w:cs="Open Sans"/>
        </w:rPr>
      </w:pPr>
      <w:r>
        <w:rPr>
          <w:rFonts w:ascii="Open Sans" w:eastAsia="Open Sans" w:hAnsi="Open Sans" w:cs="Open Sans"/>
        </w:rPr>
        <w:t xml:space="preserve">O gerenciamento de risco de liquidez objetiva monitorar diariamente o nível de solvência dos veículos de investimento, verificando o total de ativos integrantes de sua carteira que sejam passíveis de liquidação financeira e cuja liquidez seja inferior aos prazos para pagamento dos pedidos de resgate agendados, de acordo com as regras de conversão e pagamento estipuladas nos regulamentos dos fundos e políticas de investimentos para cumprimento de todas as demais obrigações das carteiras administradas e fundos, com auxílio da ferramenta </w:t>
      </w:r>
      <w:proofErr w:type="spellStart"/>
      <w:r>
        <w:rPr>
          <w:rFonts w:ascii="Open Sans" w:eastAsia="Open Sans" w:hAnsi="Open Sans" w:cs="Open Sans"/>
        </w:rPr>
        <w:t>SmartBrain</w:t>
      </w:r>
      <w:proofErr w:type="spellEnd"/>
      <w:r>
        <w:rPr>
          <w:rFonts w:ascii="Open Sans" w:eastAsia="Open Sans" w:hAnsi="Open Sans" w:cs="Open Sans"/>
        </w:rPr>
        <w:t>. Além das solicitações de resgates, são também observados os débitos de corretagem e de taxas de gestão.</w:t>
      </w:r>
    </w:p>
    <w:p w14:paraId="400A5EAE" w14:textId="77777777" w:rsidR="00602188" w:rsidRDefault="00602188">
      <w:pPr>
        <w:spacing w:line="360" w:lineRule="auto"/>
        <w:jc w:val="both"/>
        <w:rPr>
          <w:rFonts w:ascii="Open Sans" w:eastAsia="Open Sans" w:hAnsi="Open Sans" w:cs="Open Sans"/>
        </w:rPr>
      </w:pPr>
    </w:p>
    <w:p w14:paraId="68DF0A5B" w14:textId="77777777" w:rsidR="00602188" w:rsidRDefault="00EF2528">
      <w:pPr>
        <w:spacing w:line="360" w:lineRule="auto"/>
        <w:jc w:val="both"/>
        <w:rPr>
          <w:rFonts w:ascii="Open Sans" w:eastAsia="Open Sans" w:hAnsi="Open Sans" w:cs="Open Sans"/>
        </w:rPr>
      </w:pPr>
      <w:r>
        <w:rPr>
          <w:rFonts w:ascii="Open Sans" w:eastAsia="Open Sans" w:hAnsi="Open Sans" w:cs="Open Sans"/>
          <w:b/>
          <w:u w:val="single"/>
        </w:rPr>
        <w:t>Política de Risco de Concentração:</w:t>
      </w:r>
    </w:p>
    <w:p w14:paraId="4F9D3A65" w14:textId="77777777" w:rsidR="00602188" w:rsidRDefault="00EF2528">
      <w:pPr>
        <w:spacing w:line="360" w:lineRule="auto"/>
        <w:jc w:val="both"/>
        <w:rPr>
          <w:rFonts w:ascii="Open Sans" w:eastAsia="Open Sans" w:hAnsi="Open Sans" w:cs="Open Sans"/>
        </w:rPr>
      </w:pPr>
      <w:r>
        <w:rPr>
          <w:rFonts w:ascii="Open Sans" w:eastAsia="Open Sans" w:hAnsi="Open Sans" w:cs="Open Sans"/>
        </w:rPr>
        <w:lastRenderedPageBreak/>
        <w:t>O gerenciamento desse risco parte do princípio que é necessário definir um limite gerencial de exposição aos mercados, inferior ao limite definido nas políticas de investimentos. Por isso, serão estabelecidos, internamente, limites de exposição para cada um dos veículos de investimentos, considerando as exposições por título ou ação, por setor, por emissor, por classes de ativos.</w:t>
      </w:r>
    </w:p>
    <w:p w14:paraId="5DD61FC3" w14:textId="77777777" w:rsidR="00602188" w:rsidRDefault="00602188">
      <w:pPr>
        <w:spacing w:line="360" w:lineRule="auto"/>
        <w:jc w:val="both"/>
        <w:rPr>
          <w:rFonts w:ascii="Open Sans" w:eastAsia="Open Sans" w:hAnsi="Open Sans" w:cs="Open Sans"/>
        </w:rPr>
      </w:pPr>
    </w:p>
    <w:p w14:paraId="7A8D6B54" w14:textId="77777777" w:rsidR="00602188" w:rsidRDefault="00EF2528">
      <w:pPr>
        <w:spacing w:line="360" w:lineRule="auto"/>
        <w:jc w:val="both"/>
        <w:rPr>
          <w:rFonts w:ascii="Open Sans" w:eastAsia="Open Sans" w:hAnsi="Open Sans" w:cs="Open Sans"/>
        </w:rPr>
      </w:pPr>
      <w:r>
        <w:rPr>
          <w:rFonts w:ascii="Open Sans" w:eastAsia="Open Sans" w:hAnsi="Open Sans" w:cs="Open Sans"/>
          <w:b/>
          <w:u w:val="single"/>
        </w:rPr>
        <w:t>Política de Risco Operacional:</w:t>
      </w:r>
    </w:p>
    <w:p w14:paraId="1E5B8083" w14:textId="77777777" w:rsidR="00602188" w:rsidRDefault="00EF2528">
      <w:pPr>
        <w:spacing w:line="360" w:lineRule="auto"/>
        <w:jc w:val="both"/>
        <w:rPr>
          <w:rFonts w:ascii="Open Sans" w:eastAsia="Open Sans" w:hAnsi="Open Sans" w:cs="Open Sans"/>
        </w:rPr>
      </w:pPr>
      <w:r>
        <w:rPr>
          <w:rFonts w:ascii="Open Sans" w:eastAsia="Open Sans" w:hAnsi="Open Sans" w:cs="Open Sans"/>
        </w:rPr>
        <w:t xml:space="preserve">O gerenciamento do risco operacional prevê uma abordagem qualitativa, envolvendo processos de identificação, análise e avaliação de controles dos riscos, objetivando a redução das perdas e melhorias operacionais, e uma abordagem quantitativa, visando mensurar os riscos operacionais para efeito de gestão e, futuramente, para alocação do capital. </w:t>
      </w:r>
    </w:p>
    <w:p w14:paraId="375DD2F8" w14:textId="77777777" w:rsidR="00602188" w:rsidRDefault="00EF2528">
      <w:pPr>
        <w:spacing w:line="360" w:lineRule="auto"/>
        <w:jc w:val="both"/>
        <w:rPr>
          <w:rFonts w:ascii="Open Sans" w:eastAsia="Open Sans" w:hAnsi="Open Sans" w:cs="Open Sans"/>
        </w:rPr>
      </w:pPr>
      <w:r>
        <w:rPr>
          <w:rFonts w:ascii="Open Sans" w:eastAsia="Open Sans" w:hAnsi="Open Sans" w:cs="Open Sans"/>
        </w:rPr>
        <w:t xml:space="preserve">Os principais eventos relativos a Risco Operacional que devem ser monitorados continuamente são: </w:t>
      </w:r>
    </w:p>
    <w:p w14:paraId="25734278" w14:textId="77777777" w:rsidR="00602188" w:rsidRDefault="00EF2528">
      <w:pPr>
        <w:numPr>
          <w:ilvl w:val="0"/>
          <w:numId w:val="1"/>
        </w:numPr>
        <w:spacing w:line="360" w:lineRule="auto"/>
        <w:jc w:val="both"/>
        <w:rPr>
          <w:rFonts w:ascii="Open Sans" w:eastAsia="Open Sans" w:hAnsi="Open Sans" w:cs="Open Sans"/>
        </w:rPr>
      </w:pPr>
      <w:r>
        <w:rPr>
          <w:rFonts w:ascii="Open Sans" w:eastAsia="Open Sans" w:hAnsi="Open Sans" w:cs="Open Sans"/>
        </w:rPr>
        <w:t xml:space="preserve">Fraudes internas; </w:t>
      </w:r>
    </w:p>
    <w:p w14:paraId="51C9CF48" w14:textId="77777777" w:rsidR="00602188" w:rsidRDefault="00EF2528">
      <w:pPr>
        <w:numPr>
          <w:ilvl w:val="0"/>
          <w:numId w:val="1"/>
        </w:numPr>
        <w:spacing w:line="360" w:lineRule="auto"/>
        <w:jc w:val="both"/>
        <w:rPr>
          <w:rFonts w:ascii="Open Sans" w:eastAsia="Open Sans" w:hAnsi="Open Sans" w:cs="Open Sans"/>
        </w:rPr>
      </w:pPr>
      <w:r>
        <w:rPr>
          <w:rFonts w:ascii="Open Sans" w:eastAsia="Open Sans" w:hAnsi="Open Sans" w:cs="Open Sans"/>
        </w:rPr>
        <w:t xml:space="preserve">Fraudes externas; </w:t>
      </w:r>
    </w:p>
    <w:p w14:paraId="4621E741" w14:textId="77777777" w:rsidR="00602188" w:rsidRDefault="00EF2528">
      <w:pPr>
        <w:numPr>
          <w:ilvl w:val="0"/>
          <w:numId w:val="1"/>
        </w:numPr>
        <w:spacing w:line="360" w:lineRule="auto"/>
        <w:jc w:val="both"/>
        <w:rPr>
          <w:rFonts w:ascii="Open Sans" w:eastAsia="Open Sans" w:hAnsi="Open Sans" w:cs="Open Sans"/>
        </w:rPr>
      </w:pPr>
      <w:r>
        <w:rPr>
          <w:rFonts w:ascii="Open Sans" w:eastAsia="Open Sans" w:hAnsi="Open Sans" w:cs="Open Sans"/>
        </w:rPr>
        <w:t xml:space="preserve">Demandas trabalhistas e segurança deficiente do local de trabalho; </w:t>
      </w:r>
    </w:p>
    <w:p w14:paraId="1DB18A3F" w14:textId="77777777" w:rsidR="00602188" w:rsidRDefault="00EF2528">
      <w:pPr>
        <w:numPr>
          <w:ilvl w:val="0"/>
          <w:numId w:val="1"/>
        </w:numPr>
        <w:spacing w:line="360" w:lineRule="auto"/>
        <w:jc w:val="both"/>
        <w:rPr>
          <w:rFonts w:ascii="Open Sans" w:eastAsia="Open Sans" w:hAnsi="Open Sans" w:cs="Open Sans"/>
        </w:rPr>
      </w:pPr>
      <w:r>
        <w:rPr>
          <w:rFonts w:ascii="Open Sans" w:eastAsia="Open Sans" w:hAnsi="Open Sans" w:cs="Open Sans"/>
        </w:rPr>
        <w:t xml:space="preserve">Práticas inadequadas relativas a clientes, produtos e serviços; </w:t>
      </w:r>
    </w:p>
    <w:p w14:paraId="3F11605D" w14:textId="77777777" w:rsidR="00602188" w:rsidRDefault="00EF2528">
      <w:pPr>
        <w:numPr>
          <w:ilvl w:val="0"/>
          <w:numId w:val="1"/>
        </w:numPr>
        <w:spacing w:line="360" w:lineRule="auto"/>
        <w:jc w:val="both"/>
        <w:rPr>
          <w:rFonts w:ascii="Open Sans" w:eastAsia="Open Sans" w:hAnsi="Open Sans" w:cs="Open Sans"/>
        </w:rPr>
      </w:pPr>
      <w:r>
        <w:rPr>
          <w:rFonts w:ascii="Open Sans" w:eastAsia="Open Sans" w:hAnsi="Open Sans" w:cs="Open Sans"/>
        </w:rPr>
        <w:t xml:space="preserve">Danos a ativos físicos próprios ou em uso pela instituição; </w:t>
      </w:r>
    </w:p>
    <w:p w14:paraId="18AAA295" w14:textId="77777777" w:rsidR="00602188" w:rsidRDefault="00EF2528">
      <w:pPr>
        <w:numPr>
          <w:ilvl w:val="0"/>
          <w:numId w:val="1"/>
        </w:numPr>
        <w:spacing w:line="360" w:lineRule="auto"/>
        <w:jc w:val="both"/>
        <w:rPr>
          <w:rFonts w:ascii="Open Sans" w:eastAsia="Open Sans" w:hAnsi="Open Sans" w:cs="Open Sans"/>
        </w:rPr>
      </w:pPr>
      <w:r>
        <w:rPr>
          <w:rFonts w:ascii="Open Sans" w:eastAsia="Open Sans" w:hAnsi="Open Sans" w:cs="Open Sans"/>
        </w:rPr>
        <w:t xml:space="preserve">Aqueles que acarretem a interrupção das atividades da instituição; </w:t>
      </w:r>
    </w:p>
    <w:p w14:paraId="652BFCF4" w14:textId="77777777" w:rsidR="00602188" w:rsidRDefault="00EF2528">
      <w:pPr>
        <w:numPr>
          <w:ilvl w:val="0"/>
          <w:numId w:val="1"/>
        </w:numPr>
        <w:spacing w:line="360" w:lineRule="auto"/>
        <w:jc w:val="both"/>
        <w:rPr>
          <w:rFonts w:ascii="Open Sans" w:eastAsia="Open Sans" w:hAnsi="Open Sans" w:cs="Open Sans"/>
        </w:rPr>
      </w:pPr>
      <w:r>
        <w:rPr>
          <w:rFonts w:ascii="Open Sans" w:eastAsia="Open Sans" w:hAnsi="Open Sans" w:cs="Open Sans"/>
        </w:rPr>
        <w:t>Falhas em sistemas de tecnologia da informação;</w:t>
      </w:r>
    </w:p>
    <w:p w14:paraId="6393F9C6" w14:textId="77777777" w:rsidR="00602188" w:rsidRDefault="00EF2528">
      <w:pPr>
        <w:numPr>
          <w:ilvl w:val="0"/>
          <w:numId w:val="1"/>
        </w:numPr>
        <w:spacing w:line="360" w:lineRule="auto"/>
        <w:jc w:val="both"/>
        <w:rPr>
          <w:rFonts w:ascii="Open Sans" w:eastAsia="Open Sans" w:hAnsi="Open Sans" w:cs="Open Sans"/>
        </w:rPr>
      </w:pPr>
      <w:r>
        <w:rPr>
          <w:rFonts w:ascii="Open Sans" w:eastAsia="Open Sans" w:hAnsi="Open Sans" w:cs="Open Sans"/>
        </w:rPr>
        <w:t>Falhas na execução, cumprimento de prazos e gerenciamento das atividades na instituição.</w:t>
      </w:r>
    </w:p>
    <w:p w14:paraId="3EE218AA" w14:textId="77777777" w:rsidR="00602188" w:rsidRDefault="00602188">
      <w:pPr>
        <w:spacing w:line="360" w:lineRule="auto"/>
        <w:jc w:val="both"/>
        <w:rPr>
          <w:rFonts w:ascii="Open Sans" w:eastAsia="Open Sans" w:hAnsi="Open Sans" w:cs="Open Sans"/>
        </w:rPr>
      </w:pPr>
    </w:p>
    <w:p w14:paraId="02D915A4" w14:textId="77777777" w:rsidR="00602188" w:rsidRDefault="00EF2528">
      <w:pPr>
        <w:spacing w:after="200" w:line="360" w:lineRule="auto"/>
        <w:jc w:val="both"/>
        <w:rPr>
          <w:rFonts w:ascii="Open Sans" w:eastAsia="Open Sans" w:hAnsi="Open Sans" w:cs="Open Sans"/>
          <w:b/>
          <w:u w:val="single"/>
        </w:rPr>
      </w:pPr>
      <w:r>
        <w:rPr>
          <w:rFonts w:ascii="Open Sans" w:eastAsia="Open Sans" w:hAnsi="Open Sans" w:cs="Open Sans"/>
          <w:b/>
          <w:u w:val="single"/>
        </w:rPr>
        <w:t>Política de Risco de Crédito:</w:t>
      </w:r>
    </w:p>
    <w:p w14:paraId="5D1FECEC" w14:textId="77777777" w:rsidR="00602188" w:rsidRDefault="00EF2528">
      <w:pPr>
        <w:spacing w:after="200" w:line="360" w:lineRule="auto"/>
        <w:jc w:val="both"/>
        <w:rPr>
          <w:rFonts w:ascii="Open Sans" w:eastAsia="Open Sans" w:hAnsi="Open Sans" w:cs="Open Sans"/>
        </w:rPr>
      </w:pPr>
      <w:r>
        <w:rPr>
          <w:rFonts w:ascii="Open Sans" w:eastAsia="Open Sans" w:hAnsi="Open Sans" w:cs="Open Sans"/>
        </w:rPr>
        <w:t xml:space="preserve">A gestão da qualidade de crédito da carteira se dá por meio de </w:t>
      </w:r>
      <w:r>
        <w:rPr>
          <w:rFonts w:ascii="Open Sans" w:eastAsia="Open Sans" w:hAnsi="Open Sans" w:cs="Open Sans"/>
          <w:i/>
        </w:rPr>
        <w:t>ratings</w:t>
      </w:r>
      <w:r>
        <w:rPr>
          <w:rFonts w:ascii="Open Sans" w:eastAsia="Open Sans" w:hAnsi="Open Sans" w:cs="Open Sans"/>
        </w:rPr>
        <w:t xml:space="preserve"> externos, produzidos por instituições independentes, possibilitando assim verificar a aderência dos investimentos aos parâmetros de risco da carteira administrada ou fundo, conforme definido em seu regulamento. O monitoramento da qualidade do crédito da carteira é realizado de forma contínua pelas áreas de Gestão Recursos e de Gestão de Riscos, durante todo o processo de maturação, isto é, desde a aquisição dos ativos até o seu vencimento. Caso aconteça mudança no rating de determinado ativo, o Diretor de Risco avaliará a necessidade de desinvestimento parcial ou total para manutenção dos parâmetros de risco do veículo de investimentos dentro dos parâmetros de sua política ou </w:t>
      </w:r>
      <w:r>
        <w:rPr>
          <w:rFonts w:ascii="Open Sans" w:eastAsia="Open Sans" w:hAnsi="Open Sans" w:cs="Open Sans"/>
        </w:rPr>
        <w:lastRenderedPageBreak/>
        <w:t>regulamento. Caso a política do veículo não tenha parâmetros expressos, valerão os parâmetros definidos em comitê de gestão para aplicação em todos os veículos.</w:t>
      </w:r>
    </w:p>
    <w:p w14:paraId="2CD10A5B" w14:textId="77777777" w:rsidR="00602188" w:rsidRDefault="00EF2528">
      <w:pPr>
        <w:spacing w:after="200" w:line="360" w:lineRule="auto"/>
        <w:jc w:val="both"/>
        <w:rPr>
          <w:rFonts w:ascii="Open Sans" w:eastAsia="Open Sans" w:hAnsi="Open Sans" w:cs="Open Sans"/>
        </w:rPr>
      </w:pPr>
      <w:r>
        <w:rPr>
          <w:rFonts w:ascii="Open Sans" w:eastAsia="Open Sans" w:hAnsi="Open Sans" w:cs="Open Sans"/>
        </w:rPr>
        <w:t xml:space="preserve"> </w:t>
      </w:r>
    </w:p>
    <w:p w14:paraId="6A870FC3" w14:textId="77777777" w:rsidR="00602188" w:rsidRDefault="00EF2528">
      <w:pPr>
        <w:spacing w:after="200" w:line="360" w:lineRule="auto"/>
        <w:jc w:val="both"/>
        <w:rPr>
          <w:rFonts w:ascii="Open Sans" w:eastAsia="Open Sans" w:hAnsi="Open Sans" w:cs="Open Sans"/>
          <w:b/>
          <w:u w:val="single"/>
        </w:rPr>
      </w:pPr>
      <w:r>
        <w:rPr>
          <w:rFonts w:ascii="Open Sans" w:eastAsia="Open Sans" w:hAnsi="Open Sans" w:cs="Open Sans"/>
          <w:b/>
          <w:u w:val="single"/>
        </w:rPr>
        <w:t>Política de Risco de Contraparte:</w:t>
      </w:r>
    </w:p>
    <w:p w14:paraId="5A748959" w14:textId="77777777" w:rsidR="00602188" w:rsidRDefault="00EF2528">
      <w:pPr>
        <w:spacing w:after="200" w:line="360" w:lineRule="auto"/>
        <w:jc w:val="both"/>
        <w:rPr>
          <w:rFonts w:ascii="Open Sans" w:eastAsia="Open Sans" w:hAnsi="Open Sans" w:cs="Open Sans"/>
        </w:rPr>
      </w:pPr>
      <w:r>
        <w:rPr>
          <w:rFonts w:ascii="Open Sans" w:eastAsia="Open Sans" w:hAnsi="Open Sans" w:cs="Open Sans"/>
        </w:rPr>
        <w:t xml:space="preserve">A exposição a cada contraparte é monitorada por meio de </w:t>
      </w:r>
      <w:r>
        <w:rPr>
          <w:rFonts w:ascii="Open Sans" w:eastAsia="Open Sans" w:hAnsi="Open Sans" w:cs="Open Sans"/>
          <w:i/>
        </w:rPr>
        <w:t>ratings</w:t>
      </w:r>
      <w:r>
        <w:rPr>
          <w:rFonts w:ascii="Open Sans" w:eastAsia="Open Sans" w:hAnsi="Open Sans" w:cs="Open Sans"/>
        </w:rPr>
        <w:t xml:space="preserve"> produzidos por instituições independentes, que estimam a probabilidade de não cumprimento das obrigações. Caso aconteça mudança no rating de determinado ativo, o Diretor de Risco avaliará a necessidade de desinvestimento parcial ou total para manutenção dos parâmetros de risco do veículo de investimentos dentro dos parâmetros de sua política ou regulamento. Caso a política do veículo não tenha parâmetros expressos, valerão os parâmetros definidos em comitê de gestão para aplicação em todos os veículos.</w:t>
      </w:r>
    </w:p>
    <w:p w14:paraId="43C60F8C" w14:textId="77777777" w:rsidR="00602188" w:rsidRDefault="00602188">
      <w:pPr>
        <w:spacing w:line="360" w:lineRule="auto"/>
        <w:jc w:val="both"/>
        <w:rPr>
          <w:rFonts w:ascii="Open Sans" w:eastAsia="Open Sans" w:hAnsi="Open Sans" w:cs="Open Sans"/>
        </w:rPr>
      </w:pPr>
    </w:p>
    <w:p w14:paraId="204F3D23" w14:textId="77777777" w:rsidR="00602188" w:rsidRDefault="00EF2528">
      <w:pPr>
        <w:numPr>
          <w:ilvl w:val="0"/>
          <w:numId w:val="2"/>
        </w:numPr>
        <w:spacing w:before="240" w:after="240" w:line="360" w:lineRule="auto"/>
        <w:jc w:val="both"/>
        <w:rPr>
          <w:rFonts w:ascii="Open Sans" w:eastAsia="Open Sans" w:hAnsi="Open Sans" w:cs="Open Sans"/>
        </w:rPr>
      </w:pPr>
      <w:r>
        <w:rPr>
          <w:rFonts w:ascii="Open Sans" w:eastAsia="Open Sans" w:hAnsi="Open Sans" w:cs="Open Sans"/>
          <w:b/>
        </w:rPr>
        <w:t>SISTEMAS PARA O CONTROLE DE RISCOS</w:t>
      </w:r>
    </w:p>
    <w:p w14:paraId="1AE921F0" w14:textId="77777777" w:rsidR="00602188" w:rsidRDefault="00EF2528">
      <w:pPr>
        <w:spacing w:line="360" w:lineRule="auto"/>
        <w:jc w:val="both"/>
        <w:rPr>
          <w:rFonts w:ascii="Open Sans" w:eastAsia="Open Sans" w:hAnsi="Open Sans" w:cs="Open Sans"/>
        </w:rPr>
      </w:pPr>
      <w:r>
        <w:rPr>
          <w:rFonts w:ascii="Open Sans" w:eastAsia="Open Sans" w:hAnsi="Open Sans" w:cs="Open Sans"/>
        </w:rPr>
        <w:t xml:space="preserve">O acompanhamento e monitoramento dos ativos financeiros, bem como o controle dos riscos de liquidez, de concentração e de crédito, são feitos com o auxílio do sistema </w:t>
      </w:r>
      <w:proofErr w:type="spellStart"/>
      <w:r>
        <w:rPr>
          <w:rFonts w:ascii="Open Sans" w:eastAsia="Open Sans" w:hAnsi="Open Sans" w:cs="Open Sans"/>
        </w:rPr>
        <w:t>BRITech</w:t>
      </w:r>
      <w:proofErr w:type="spellEnd"/>
      <w:r>
        <w:rPr>
          <w:rFonts w:ascii="Open Sans" w:eastAsia="Open Sans" w:hAnsi="Open Sans" w:cs="Open Sans"/>
        </w:rPr>
        <w:t xml:space="preserve">, contando com os módulos TAS, PAS, MARKET RISK e LIQUID RISK. </w:t>
      </w:r>
    </w:p>
    <w:p w14:paraId="7CC7ACD4" w14:textId="77777777" w:rsidR="00602188" w:rsidRDefault="00EF2528">
      <w:pPr>
        <w:spacing w:line="360" w:lineRule="auto"/>
        <w:rPr>
          <w:rFonts w:ascii="Open Sans" w:eastAsia="Open Sans" w:hAnsi="Open Sans" w:cs="Open Sans"/>
        </w:rPr>
      </w:pPr>
      <w:r>
        <w:rPr>
          <w:rFonts w:ascii="Open Sans" w:eastAsia="Open Sans" w:hAnsi="Open Sans" w:cs="Open Sans"/>
        </w:rPr>
        <w:t>Os veículos de investimento contam com monitoramento diário por parte dos profissionais da área de riscos, supervisionados pelo diretor estatutário responsável pelo gerenciamento de riscos. Esse monitoramento dará origem ao relatório de acompanhamento de riscos.</w:t>
      </w:r>
    </w:p>
    <w:p w14:paraId="133E4D82" w14:textId="77777777" w:rsidR="00602188" w:rsidRDefault="00602188">
      <w:pPr>
        <w:spacing w:line="360" w:lineRule="auto"/>
        <w:rPr>
          <w:rFonts w:ascii="Open Sans" w:eastAsia="Open Sans" w:hAnsi="Open Sans" w:cs="Open Sans"/>
        </w:rPr>
      </w:pPr>
    </w:p>
    <w:p w14:paraId="58303DE1" w14:textId="77777777" w:rsidR="00602188" w:rsidRDefault="00EF2528">
      <w:pPr>
        <w:numPr>
          <w:ilvl w:val="0"/>
          <w:numId w:val="2"/>
        </w:numPr>
        <w:spacing w:before="240" w:after="240" w:line="360" w:lineRule="auto"/>
        <w:jc w:val="both"/>
        <w:rPr>
          <w:rFonts w:ascii="Open Sans" w:eastAsia="Open Sans" w:hAnsi="Open Sans" w:cs="Open Sans"/>
        </w:rPr>
      </w:pPr>
      <w:r>
        <w:rPr>
          <w:rFonts w:ascii="Open Sans" w:eastAsia="Open Sans" w:hAnsi="Open Sans" w:cs="Open Sans"/>
          <w:b/>
        </w:rPr>
        <w:t>RELATÓRIO DE ACOMPANHAMENTO DE RISCOS</w:t>
      </w:r>
    </w:p>
    <w:p w14:paraId="4DC2CFC8" w14:textId="77777777" w:rsidR="00602188" w:rsidRDefault="00EF2528">
      <w:pPr>
        <w:spacing w:line="360" w:lineRule="auto"/>
        <w:jc w:val="both"/>
        <w:rPr>
          <w:rFonts w:ascii="Open Sans" w:eastAsia="Open Sans" w:hAnsi="Open Sans" w:cs="Open Sans"/>
        </w:rPr>
      </w:pPr>
      <w:r>
        <w:rPr>
          <w:rFonts w:ascii="Open Sans" w:eastAsia="Open Sans" w:hAnsi="Open Sans" w:cs="Open Sans"/>
        </w:rPr>
        <w:t xml:space="preserve">O Relatório de Acompanhamento de Riscos e as Atas de Reunião do Comitê de Risco são arquivados eletronicamente contendo as classificações mês a mês e o detalhamento das ações gerenciais em curso, formalizadas no próprio relatório ou em ata, que justificam a classificação de risco caso a caso. </w:t>
      </w:r>
    </w:p>
    <w:p w14:paraId="45AA0CD7" w14:textId="77777777" w:rsidR="00602188" w:rsidRDefault="00EF2528">
      <w:pPr>
        <w:spacing w:line="360" w:lineRule="auto"/>
        <w:jc w:val="both"/>
        <w:rPr>
          <w:rFonts w:ascii="Open Sans" w:eastAsia="Open Sans" w:hAnsi="Open Sans" w:cs="Open Sans"/>
        </w:rPr>
      </w:pPr>
      <w:r>
        <w:rPr>
          <w:rFonts w:ascii="Open Sans" w:eastAsia="Open Sans" w:hAnsi="Open Sans" w:cs="Open Sans"/>
        </w:rPr>
        <w:lastRenderedPageBreak/>
        <w:t>O relatório de acompanhamento deverá indicar a exposição aos riscos, devendo haver enquadramento aos parâmetros constantes da política de investimento das carteiras administradas e do regulamento dos fundos de investimento, sendo a designação dos limites de exposição a risco item obrigatoriamente constante do contrato de gestão.</w:t>
      </w:r>
    </w:p>
    <w:p w14:paraId="27BB5E23" w14:textId="77777777" w:rsidR="00602188" w:rsidRDefault="00EF2528">
      <w:pPr>
        <w:spacing w:line="360" w:lineRule="auto"/>
        <w:jc w:val="both"/>
        <w:rPr>
          <w:rFonts w:ascii="Open Sans" w:eastAsia="Open Sans" w:hAnsi="Open Sans" w:cs="Open Sans"/>
        </w:rPr>
      </w:pPr>
      <w:r>
        <w:rPr>
          <w:rFonts w:ascii="Open Sans" w:eastAsia="Open Sans" w:hAnsi="Open Sans" w:cs="Open Sans"/>
        </w:rPr>
        <w:t xml:space="preserve">O Departamento de </w:t>
      </w:r>
      <w:proofErr w:type="spellStart"/>
      <w:r>
        <w:rPr>
          <w:rFonts w:ascii="Open Sans" w:eastAsia="Open Sans" w:hAnsi="Open Sans" w:cs="Open Sans"/>
        </w:rPr>
        <w:t>Compliance</w:t>
      </w:r>
      <w:proofErr w:type="spellEnd"/>
      <w:r>
        <w:rPr>
          <w:rFonts w:ascii="Open Sans" w:eastAsia="Open Sans" w:hAnsi="Open Sans" w:cs="Open Sans"/>
        </w:rPr>
        <w:t xml:space="preserve"> e Risco envia, mensalmente, por meio eletrônico, aos integrantes do Departamento de Gestão de Recursos e aos membros do Comitê de Gestão de Recursos, um relatório contendo as principais disposições acerca dos riscos, em especial os valores de </w:t>
      </w:r>
      <w:proofErr w:type="spellStart"/>
      <w:r>
        <w:rPr>
          <w:rFonts w:ascii="Open Sans" w:eastAsia="Open Sans" w:hAnsi="Open Sans" w:cs="Open Sans"/>
        </w:rPr>
        <w:t>VaR</w:t>
      </w:r>
      <w:proofErr w:type="spellEnd"/>
      <w:r>
        <w:rPr>
          <w:rFonts w:ascii="Open Sans" w:eastAsia="Open Sans" w:hAnsi="Open Sans" w:cs="Open Sans"/>
        </w:rPr>
        <w:t xml:space="preserve">, volatilidade e índices de liquidez. Caso haja veículos de investimento que tiveram seus limites de risco excedidos, tal matéria também deverá ser objeto deste relatório. </w:t>
      </w:r>
    </w:p>
    <w:p w14:paraId="5A1729DF" w14:textId="77777777" w:rsidR="00602188" w:rsidRDefault="00602188">
      <w:pPr>
        <w:spacing w:line="360" w:lineRule="auto"/>
        <w:rPr>
          <w:rFonts w:ascii="Open Sans" w:eastAsia="Open Sans" w:hAnsi="Open Sans" w:cs="Open Sans"/>
        </w:rPr>
      </w:pPr>
    </w:p>
    <w:p w14:paraId="45AE42F4" w14:textId="77777777" w:rsidR="00602188" w:rsidRDefault="00EF2528">
      <w:pPr>
        <w:numPr>
          <w:ilvl w:val="0"/>
          <w:numId w:val="2"/>
        </w:numPr>
        <w:spacing w:before="240" w:after="240" w:line="360" w:lineRule="auto"/>
        <w:jc w:val="both"/>
        <w:rPr>
          <w:rFonts w:ascii="Open Sans" w:eastAsia="Open Sans" w:hAnsi="Open Sans" w:cs="Open Sans"/>
        </w:rPr>
      </w:pPr>
      <w:r>
        <w:rPr>
          <w:rFonts w:ascii="Open Sans" w:eastAsia="Open Sans" w:hAnsi="Open Sans" w:cs="Open Sans"/>
          <w:b/>
        </w:rPr>
        <w:t>ORGANOGRAMA DA ÁREA DE GESTÃO DE RISCOS</w:t>
      </w:r>
    </w:p>
    <w:p w14:paraId="494B568B" w14:textId="77777777" w:rsidR="00602188" w:rsidRDefault="00EF2528">
      <w:pPr>
        <w:spacing w:before="240" w:after="240" w:line="360" w:lineRule="auto"/>
        <w:jc w:val="center"/>
        <w:rPr>
          <w:rFonts w:ascii="Open Sans" w:eastAsia="Open Sans" w:hAnsi="Open Sans" w:cs="Open Sans"/>
        </w:rPr>
      </w:pPr>
      <w:r>
        <w:rPr>
          <w:rFonts w:ascii="Open Sans" w:eastAsia="Open Sans" w:hAnsi="Open Sans" w:cs="Open Sans"/>
          <w:noProof/>
        </w:rPr>
        <w:drawing>
          <wp:inline distT="0" distB="0" distL="0" distR="0" wp14:anchorId="549C635D" wp14:editId="0E9CD562">
            <wp:extent cx="2997055" cy="2456144"/>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97055" cy="2456144"/>
                    </a:xfrm>
                    <a:prstGeom prst="rect">
                      <a:avLst/>
                    </a:prstGeom>
                    <a:ln/>
                  </pic:spPr>
                </pic:pic>
              </a:graphicData>
            </a:graphic>
          </wp:inline>
        </w:drawing>
      </w:r>
    </w:p>
    <w:p w14:paraId="6A43EC68" w14:textId="77777777" w:rsidR="00602188" w:rsidRDefault="00602188">
      <w:pPr>
        <w:spacing w:before="240" w:after="240" w:line="360" w:lineRule="auto"/>
        <w:jc w:val="both"/>
        <w:rPr>
          <w:rFonts w:ascii="Open Sans" w:eastAsia="Open Sans" w:hAnsi="Open Sans" w:cs="Open Sans"/>
        </w:rPr>
      </w:pPr>
    </w:p>
    <w:p w14:paraId="4AD150C9" w14:textId="77777777" w:rsidR="00602188" w:rsidRDefault="00EF2528">
      <w:pPr>
        <w:numPr>
          <w:ilvl w:val="0"/>
          <w:numId w:val="2"/>
        </w:numPr>
        <w:spacing w:before="240" w:after="240" w:line="360" w:lineRule="auto"/>
        <w:jc w:val="both"/>
        <w:rPr>
          <w:rFonts w:ascii="Open Sans" w:eastAsia="Open Sans" w:hAnsi="Open Sans" w:cs="Open Sans"/>
        </w:rPr>
      </w:pPr>
      <w:r>
        <w:rPr>
          <w:rFonts w:ascii="Open Sans" w:eastAsia="Open Sans" w:hAnsi="Open Sans" w:cs="Open Sans"/>
          <w:b/>
        </w:rPr>
        <w:t>REVISÃO ANUAL DE PARÂMETROS DE RISCO</w:t>
      </w:r>
    </w:p>
    <w:p w14:paraId="5B150449" w14:textId="77777777" w:rsidR="00602188" w:rsidRDefault="00EF2528">
      <w:pPr>
        <w:spacing w:line="360" w:lineRule="auto"/>
        <w:jc w:val="both"/>
        <w:rPr>
          <w:rFonts w:ascii="Open Sans" w:eastAsia="Open Sans" w:hAnsi="Open Sans" w:cs="Open Sans"/>
        </w:rPr>
      </w:pPr>
      <w:r>
        <w:rPr>
          <w:rFonts w:ascii="Open Sans" w:eastAsia="Open Sans" w:hAnsi="Open Sans" w:cs="Open Sans"/>
        </w:rPr>
        <w:t xml:space="preserve">A revisão de parâmetros e premissas referentes a esta Política deve ocorrer em periodicidade anual ou mediante demanda. </w:t>
      </w:r>
    </w:p>
    <w:p w14:paraId="5052597B" w14:textId="215BD962" w:rsidR="00602188" w:rsidRDefault="00602188">
      <w:pPr>
        <w:spacing w:line="360" w:lineRule="auto"/>
        <w:rPr>
          <w:rFonts w:ascii="Open Sans" w:eastAsia="Open Sans" w:hAnsi="Open Sans" w:cs="Open Sans"/>
        </w:rPr>
      </w:pPr>
    </w:p>
    <w:p w14:paraId="5BAF3B86" w14:textId="77777777" w:rsidR="00F8346F" w:rsidRDefault="00F8346F">
      <w:pPr>
        <w:spacing w:line="360" w:lineRule="auto"/>
        <w:rPr>
          <w:rFonts w:ascii="Open Sans" w:eastAsia="Open Sans" w:hAnsi="Open Sans" w:cs="Open Sans"/>
        </w:rPr>
      </w:pPr>
    </w:p>
    <w:p w14:paraId="023FB248" w14:textId="77777777" w:rsidR="00602188" w:rsidRDefault="00EF2528">
      <w:pPr>
        <w:numPr>
          <w:ilvl w:val="0"/>
          <w:numId w:val="2"/>
        </w:numPr>
        <w:spacing w:before="240" w:after="240" w:line="360" w:lineRule="auto"/>
        <w:jc w:val="both"/>
        <w:rPr>
          <w:rFonts w:ascii="Open Sans" w:eastAsia="Open Sans" w:hAnsi="Open Sans" w:cs="Open Sans"/>
        </w:rPr>
      </w:pPr>
      <w:r>
        <w:rPr>
          <w:rFonts w:ascii="Open Sans" w:eastAsia="Open Sans" w:hAnsi="Open Sans" w:cs="Open Sans"/>
          <w:b/>
        </w:rPr>
        <w:lastRenderedPageBreak/>
        <w:t>MANUTENÇÃO DE ARQUIVOS</w:t>
      </w:r>
    </w:p>
    <w:p w14:paraId="60A72B87" w14:textId="77777777" w:rsidR="00602188" w:rsidRDefault="00EF2528">
      <w:pPr>
        <w:spacing w:before="240" w:after="240" w:line="360" w:lineRule="auto"/>
        <w:jc w:val="both"/>
        <w:rPr>
          <w:rFonts w:ascii="Open Sans" w:eastAsia="Open Sans" w:hAnsi="Open Sans" w:cs="Open Sans"/>
        </w:rPr>
      </w:pPr>
      <w:r>
        <w:rPr>
          <w:rFonts w:ascii="Open Sans" w:eastAsia="Open Sans" w:hAnsi="Open Sans" w:cs="Open Sans"/>
        </w:rPr>
        <w:t>A revisão de parâmetros e premissas referentes ao teor deste documento deve ocorrer em periodicidade anual ou mediante demanda. Todos os documentos utilizados ou gerados para a sua manutenção deverão permanecer arquivados, em meio eletrônico ou físico, pelo prazo mínimo de 5 (cinco) anos, em conformidade com a recomendação expedida pelos órgãos regulatórios.</w:t>
      </w:r>
    </w:p>
    <w:p w14:paraId="083DBCCE" w14:textId="77777777" w:rsidR="00602188" w:rsidRDefault="00602188">
      <w:pPr>
        <w:spacing w:line="360" w:lineRule="auto"/>
        <w:jc w:val="both"/>
        <w:rPr>
          <w:rFonts w:ascii="Open Sans" w:eastAsia="Open Sans" w:hAnsi="Open Sans" w:cs="Open Sans"/>
        </w:rPr>
      </w:pPr>
    </w:p>
    <w:p w14:paraId="4380DE63" w14:textId="77777777" w:rsidR="00602188" w:rsidRDefault="00602188">
      <w:pPr>
        <w:spacing w:line="360" w:lineRule="auto"/>
        <w:jc w:val="both"/>
        <w:rPr>
          <w:rFonts w:ascii="Open Sans" w:eastAsia="Open Sans" w:hAnsi="Open Sans" w:cs="Open Sans"/>
        </w:rPr>
      </w:pPr>
    </w:p>
    <w:p w14:paraId="41E0549B" w14:textId="77777777" w:rsidR="00602188" w:rsidRDefault="00602188">
      <w:pPr>
        <w:rPr>
          <w:rFonts w:ascii="Open Sans" w:eastAsia="Open Sans" w:hAnsi="Open Sans" w:cs="Open Sans"/>
        </w:rPr>
      </w:pPr>
    </w:p>
    <w:p w14:paraId="561A9393" w14:textId="77777777" w:rsidR="00602188" w:rsidRDefault="00602188"/>
    <w:sectPr w:rsidR="00602188" w:rsidSect="00F8346F">
      <w:headerReference w:type="default" r:id="rId9"/>
      <w:footerReference w:type="default" r:id="rId10"/>
      <w:pgSz w:w="11907" w:h="16839"/>
      <w:pgMar w:top="2546" w:right="1134" w:bottom="1985" w:left="1588" w:header="0" w:footer="4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99783" w14:textId="77777777" w:rsidR="009C22A5" w:rsidRDefault="009C22A5">
      <w:r>
        <w:separator/>
      </w:r>
    </w:p>
  </w:endnote>
  <w:endnote w:type="continuationSeparator" w:id="0">
    <w:p w14:paraId="4230E079" w14:textId="77777777" w:rsidR="009C22A5" w:rsidRDefault="009C2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D613F" w14:textId="44684352" w:rsidR="00602188" w:rsidRDefault="00EF2528" w:rsidP="00F8346F">
    <w:pPr>
      <w:pBdr>
        <w:top w:val="nil"/>
        <w:left w:val="nil"/>
        <w:bottom w:val="nil"/>
        <w:right w:val="nil"/>
        <w:between w:val="nil"/>
      </w:pBdr>
      <w:tabs>
        <w:tab w:val="center" w:pos="4252"/>
        <w:tab w:val="right" w:pos="8504"/>
      </w:tabs>
      <w:jc w:val="center"/>
      <w:rPr>
        <w:rFonts w:ascii="Tahoma" w:eastAsia="Tahoma" w:hAnsi="Tahoma" w:cs="Tahoma"/>
        <w:color w:val="000000"/>
      </w:rPr>
    </w:pPr>
    <w:r>
      <w:rPr>
        <w:rFonts w:ascii="Tahoma" w:eastAsia="Tahoma" w:hAnsi="Tahoma" w:cs="Tahoma"/>
        <w:color w:val="000000"/>
        <w:sz w:val="18"/>
        <w:szCs w:val="18"/>
      </w:rPr>
      <w:t xml:space="preserve">Página </w:t>
    </w:r>
    <w:r>
      <w:rPr>
        <w:rFonts w:ascii="Tahoma" w:eastAsia="Tahoma" w:hAnsi="Tahoma" w:cs="Tahoma"/>
        <w:b/>
        <w:color w:val="000000"/>
        <w:sz w:val="18"/>
        <w:szCs w:val="18"/>
      </w:rPr>
      <w:fldChar w:fldCharType="begin"/>
    </w:r>
    <w:r>
      <w:rPr>
        <w:rFonts w:ascii="Tahoma" w:eastAsia="Tahoma" w:hAnsi="Tahoma" w:cs="Tahoma"/>
        <w:b/>
        <w:color w:val="000000"/>
        <w:sz w:val="18"/>
        <w:szCs w:val="18"/>
      </w:rPr>
      <w:instrText>PAGE</w:instrText>
    </w:r>
    <w:r>
      <w:rPr>
        <w:rFonts w:ascii="Tahoma" w:eastAsia="Tahoma" w:hAnsi="Tahoma" w:cs="Tahoma"/>
        <w:b/>
        <w:color w:val="000000"/>
        <w:sz w:val="18"/>
        <w:szCs w:val="18"/>
      </w:rPr>
      <w:fldChar w:fldCharType="separate"/>
    </w:r>
    <w:r w:rsidR="001E24A0">
      <w:rPr>
        <w:rFonts w:ascii="Tahoma" w:eastAsia="Tahoma" w:hAnsi="Tahoma" w:cs="Tahoma"/>
        <w:b/>
        <w:noProof/>
        <w:color w:val="000000"/>
        <w:sz w:val="18"/>
        <w:szCs w:val="18"/>
      </w:rPr>
      <w:t>1</w:t>
    </w:r>
    <w:r>
      <w:rPr>
        <w:rFonts w:ascii="Tahoma" w:eastAsia="Tahoma" w:hAnsi="Tahoma" w:cs="Tahoma"/>
        <w:b/>
        <w:color w:val="000000"/>
        <w:sz w:val="18"/>
        <w:szCs w:val="18"/>
      </w:rPr>
      <w:fldChar w:fldCharType="end"/>
    </w:r>
    <w:r>
      <w:rPr>
        <w:rFonts w:ascii="Tahoma" w:eastAsia="Tahoma" w:hAnsi="Tahoma" w:cs="Tahoma"/>
        <w:color w:val="000000"/>
        <w:sz w:val="18"/>
        <w:szCs w:val="18"/>
      </w:rPr>
      <w:t xml:space="preserve"> de </w:t>
    </w:r>
    <w:r>
      <w:rPr>
        <w:rFonts w:ascii="Tahoma" w:eastAsia="Tahoma" w:hAnsi="Tahoma" w:cs="Tahoma"/>
        <w:b/>
        <w:color w:val="000000"/>
        <w:sz w:val="18"/>
        <w:szCs w:val="18"/>
      </w:rPr>
      <w:fldChar w:fldCharType="begin"/>
    </w:r>
    <w:r>
      <w:rPr>
        <w:rFonts w:ascii="Tahoma" w:eastAsia="Tahoma" w:hAnsi="Tahoma" w:cs="Tahoma"/>
        <w:b/>
        <w:color w:val="000000"/>
        <w:sz w:val="18"/>
        <w:szCs w:val="18"/>
      </w:rPr>
      <w:instrText>NUMPAGES</w:instrText>
    </w:r>
    <w:r>
      <w:rPr>
        <w:rFonts w:ascii="Tahoma" w:eastAsia="Tahoma" w:hAnsi="Tahoma" w:cs="Tahoma"/>
        <w:b/>
        <w:color w:val="000000"/>
        <w:sz w:val="18"/>
        <w:szCs w:val="18"/>
      </w:rPr>
      <w:fldChar w:fldCharType="separate"/>
    </w:r>
    <w:r w:rsidR="001E24A0">
      <w:rPr>
        <w:rFonts w:ascii="Tahoma" w:eastAsia="Tahoma" w:hAnsi="Tahoma" w:cs="Tahoma"/>
        <w:b/>
        <w:noProof/>
        <w:color w:val="000000"/>
        <w:sz w:val="18"/>
        <w:szCs w:val="18"/>
      </w:rPr>
      <w:t>2</w:t>
    </w:r>
    <w:r>
      <w:rPr>
        <w:rFonts w:ascii="Tahoma" w:eastAsia="Tahoma" w:hAnsi="Tahoma" w:cs="Tahoma"/>
        <w:b/>
        <w:color w:val="000000"/>
        <w:sz w:val="18"/>
        <w:szCs w:val="18"/>
      </w:rPr>
      <w:fldChar w:fldCharType="end"/>
    </w:r>
  </w:p>
  <w:p w14:paraId="01F8A7F3" w14:textId="2F22ED28" w:rsidR="00602188" w:rsidRDefault="00E93EB0">
    <w:pPr>
      <w:pBdr>
        <w:top w:val="nil"/>
        <w:left w:val="nil"/>
        <w:bottom w:val="nil"/>
        <w:right w:val="nil"/>
        <w:between w:val="nil"/>
      </w:pBdr>
      <w:tabs>
        <w:tab w:val="center" w:pos="4252"/>
        <w:tab w:val="right" w:pos="8504"/>
      </w:tabs>
      <w:ind w:left="-1701" w:right="-1134"/>
      <w:jc w:val="center"/>
      <w:rPr>
        <w:color w:val="000000"/>
      </w:rPr>
    </w:pPr>
    <w:r>
      <w:rPr>
        <w:noProof/>
      </w:rPr>
      <mc:AlternateContent>
        <mc:Choice Requires="wps">
          <w:drawing>
            <wp:anchor distT="0" distB="0" distL="114300" distR="114300" simplePos="0" relativeHeight="251659264" behindDoc="0" locked="0" layoutInCell="1" hidden="0" allowOverlap="1" wp14:anchorId="2BF2F684" wp14:editId="7220C44C">
              <wp:simplePos x="0" y="0"/>
              <wp:positionH relativeFrom="column">
                <wp:posOffset>-786130</wp:posOffset>
              </wp:positionH>
              <wp:positionV relativeFrom="paragraph">
                <wp:posOffset>150495</wp:posOffset>
              </wp:positionV>
              <wp:extent cx="6972300" cy="379095"/>
              <wp:effectExtent l="0" t="0" r="0" b="1905"/>
              <wp:wrapNone/>
              <wp:docPr id="12" name="Retângulo 12"/>
              <wp:cNvGraphicFramePr/>
              <a:graphic xmlns:a="http://schemas.openxmlformats.org/drawingml/2006/main">
                <a:graphicData uri="http://schemas.microsoft.com/office/word/2010/wordprocessingShape">
                  <wps:wsp>
                    <wps:cNvSpPr/>
                    <wps:spPr>
                      <a:xfrm>
                        <a:off x="0" y="0"/>
                        <a:ext cx="6972300" cy="379095"/>
                      </a:xfrm>
                      <a:prstGeom prst="rect">
                        <a:avLst/>
                      </a:prstGeom>
                      <a:solidFill>
                        <a:schemeClr val="lt1"/>
                      </a:solidFill>
                      <a:ln>
                        <a:noFill/>
                      </a:ln>
                    </wps:spPr>
                    <wps:txbx>
                      <w:txbxContent>
                        <w:p w14:paraId="5CE391C3" w14:textId="77777777" w:rsidR="00F8346F" w:rsidRDefault="00E93EB0" w:rsidP="00F8346F">
                          <w:pPr>
                            <w:jc w:val="center"/>
                            <w:textDirection w:val="btLr"/>
                            <w:rPr>
                              <w:rFonts w:ascii="Open Sans" w:eastAsia="Open Sans" w:hAnsi="Open Sans" w:cs="Open Sans"/>
                              <w:bCs/>
                              <w:color w:val="000000"/>
                              <w:sz w:val="17"/>
                            </w:rPr>
                          </w:pPr>
                          <w:r w:rsidRPr="0005745C">
                            <w:rPr>
                              <w:rFonts w:ascii="Open Sans" w:eastAsia="Open Sans" w:hAnsi="Open Sans" w:cs="Open Sans"/>
                              <w:b/>
                              <w:color w:val="000000"/>
                              <w:sz w:val="17"/>
                            </w:rPr>
                            <w:t xml:space="preserve">São Paulo - SP </w:t>
                          </w:r>
                          <w:r w:rsidRPr="0005745C">
                            <w:rPr>
                              <w:rFonts w:ascii="Open Sans" w:eastAsia="Open Sans" w:hAnsi="Open Sans" w:cs="Open Sans"/>
                              <w:bCs/>
                              <w:color w:val="000000"/>
                              <w:sz w:val="17"/>
                            </w:rPr>
                            <w:t>| (11) 3263-1089 | (11) 94446-6662</w:t>
                          </w:r>
                        </w:p>
                        <w:p w14:paraId="3190D6E8" w14:textId="1FBE26CF" w:rsidR="00E93EB0" w:rsidRDefault="00E93EB0" w:rsidP="00F8346F">
                          <w:pPr>
                            <w:jc w:val="center"/>
                            <w:textDirection w:val="btLr"/>
                          </w:pPr>
                          <w:r w:rsidRPr="0005745C">
                            <w:rPr>
                              <w:rFonts w:ascii="Open Sans" w:eastAsia="Open Sans" w:hAnsi="Open Sans" w:cs="Open Sans"/>
                              <w:bCs/>
                              <w:color w:val="000000"/>
                              <w:sz w:val="17"/>
                            </w:rPr>
                            <w:t>R. Leopoldo Couto Magalhães Júnior, 110, Sala 81, Jardim Paulista - CEP 04542-000</w:t>
                          </w:r>
                        </w:p>
                        <w:p w14:paraId="40840CE3" w14:textId="154FCDA4" w:rsidR="00602188" w:rsidRDefault="00602188">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BF2F684" id="Retângulo 12" o:spid="_x0000_s1026" style="position:absolute;left:0;text-align:left;margin-left:-61.9pt;margin-top:11.85pt;width:549pt;height:2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" fillcolor="white [3201]" stroked="f">
              <v:textbox inset="2.53958mm,1.2694mm,2.53958mm,1.2694mm">
                <w:txbxContent>
                  <w:p w14:paraId="5CE391C3" w14:textId="77777777" w:rsidR="00F8346F" w:rsidRDefault="00E93EB0" w:rsidP="00F8346F">
                    <w:pPr>
                      <w:jc w:val="center"/>
                      <w:textDirection w:val="btLr"/>
                      <w:rPr>
                        <w:rFonts w:ascii="Open Sans" w:eastAsia="Open Sans" w:hAnsi="Open Sans" w:cs="Open Sans"/>
                        <w:bCs/>
                        <w:color w:val="000000"/>
                        <w:sz w:val="17"/>
                      </w:rPr>
                    </w:pPr>
                    <w:r w:rsidRPr="0005745C">
                      <w:rPr>
                        <w:rFonts w:ascii="Open Sans" w:eastAsia="Open Sans" w:hAnsi="Open Sans" w:cs="Open Sans"/>
                        <w:b/>
                        <w:color w:val="000000"/>
                        <w:sz w:val="17"/>
                      </w:rPr>
                      <w:t xml:space="preserve">São Paulo - SP </w:t>
                    </w:r>
                    <w:r w:rsidRPr="0005745C">
                      <w:rPr>
                        <w:rFonts w:ascii="Open Sans" w:eastAsia="Open Sans" w:hAnsi="Open Sans" w:cs="Open Sans"/>
                        <w:bCs/>
                        <w:color w:val="000000"/>
                        <w:sz w:val="17"/>
                      </w:rPr>
                      <w:t>| (11) 3263-1089 | (11) 94446-6662</w:t>
                    </w:r>
                  </w:p>
                  <w:p w14:paraId="3190D6E8" w14:textId="1FBE26CF" w:rsidR="00E93EB0" w:rsidRDefault="00E93EB0" w:rsidP="00F8346F">
                    <w:pPr>
                      <w:jc w:val="center"/>
                      <w:textDirection w:val="btLr"/>
                    </w:pPr>
                    <w:r w:rsidRPr="0005745C">
                      <w:rPr>
                        <w:rFonts w:ascii="Open Sans" w:eastAsia="Open Sans" w:hAnsi="Open Sans" w:cs="Open Sans"/>
                        <w:bCs/>
                        <w:color w:val="000000"/>
                        <w:sz w:val="17"/>
                      </w:rPr>
                      <w:t>R. Leopoldo Couto Magalhães Júnior, 110, Sala 81, Jardim Paulista - CEP 04542-000</w:t>
                    </w:r>
                  </w:p>
                  <w:p w14:paraId="40840CE3" w14:textId="154FCDA4" w:rsidR="00602188" w:rsidRDefault="00602188">
                    <w:pPr>
                      <w:textDirection w:val="btLr"/>
                    </w:pPr>
                  </w:p>
                </w:txbxContent>
              </v:textbox>
            </v:rect>
          </w:pict>
        </mc:Fallback>
      </mc:AlternateContent>
    </w:r>
  </w:p>
  <w:p w14:paraId="3B4FC4A2" w14:textId="65E57769" w:rsidR="00602188" w:rsidRDefault="00602188">
    <w:pPr>
      <w:pBdr>
        <w:top w:val="nil"/>
        <w:left w:val="nil"/>
        <w:bottom w:val="nil"/>
        <w:right w:val="nil"/>
        <w:between w:val="nil"/>
      </w:pBdr>
      <w:tabs>
        <w:tab w:val="center" w:pos="4252"/>
        <w:tab w:val="right" w:pos="8504"/>
      </w:tabs>
      <w:ind w:left="-1701" w:right="-1134"/>
      <w:jc w:val="center"/>
      <w:rPr>
        <w:color w:val="000000"/>
      </w:rPr>
    </w:pPr>
  </w:p>
  <w:p w14:paraId="7E374CE6" w14:textId="77777777" w:rsidR="00602188" w:rsidRDefault="00602188">
    <w:pPr>
      <w:pBdr>
        <w:top w:val="nil"/>
        <w:left w:val="nil"/>
        <w:bottom w:val="nil"/>
        <w:right w:val="nil"/>
        <w:between w:val="nil"/>
      </w:pBdr>
      <w:tabs>
        <w:tab w:val="center" w:pos="4252"/>
        <w:tab w:val="right" w:pos="8504"/>
      </w:tabs>
      <w:ind w:left="-1701" w:right="-1134"/>
      <w:jc w:val="center"/>
      <w:rPr>
        <w:color w:val="000000"/>
      </w:rPr>
    </w:pPr>
  </w:p>
  <w:p w14:paraId="2A8E006D" w14:textId="77777777" w:rsidR="00602188" w:rsidRDefault="00602188">
    <w:pPr>
      <w:pBdr>
        <w:top w:val="nil"/>
        <w:left w:val="nil"/>
        <w:bottom w:val="nil"/>
        <w:right w:val="nil"/>
        <w:between w:val="nil"/>
      </w:pBdr>
      <w:tabs>
        <w:tab w:val="center" w:pos="4252"/>
        <w:tab w:val="right" w:pos="8504"/>
      </w:tabs>
      <w:ind w:left="-1701" w:right="-1134"/>
      <w:jc w:val="center"/>
      <w:rPr>
        <w:color w:val="000000"/>
      </w:rPr>
    </w:pPr>
  </w:p>
  <w:p w14:paraId="24B32C97" w14:textId="77777777" w:rsidR="00602188" w:rsidRDefault="00602188">
    <w:pPr>
      <w:pBdr>
        <w:top w:val="nil"/>
        <w:left w:val="nil"/>
        <w:bottom w:val="nil"/>
        <w:right w:val="nil"/>
        <w:between w:val="nil"/>
      </w:pBdr>
      <w:tabs>
        <w:tab w:val="center" w:pos="4252"/>
        <w:tab w:val="right" w:pos="8504"/>
      </w:tabs>
      <w:ind w:left="-1701" w:right="-1134"/>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AA529" w14:textId="77777777" w:rsidR="009C22A5" w:rsidRDefault="009C22A5">
      <w:r>
        <w:separator/>
      </w:r>
    </w:p>
  </w:footnote>
  <w:footnote w:type="continuationSeparator" w:id="0">
    <w:p w14:paraId="55FA72A6" w14:textId="77777777" w:rsidR="009C22A5" w:rsidRDefault="009C2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A27E" w14:textId="77777777" w:rsidR="00602188" w:rsidRDefault="00EF2528">
    <w:pPr>
      <w:pBdr>
        <w:top w:val="nil"/>
        <w:left w:val="nil"/>
        <w:bottom w:val="nil"/>
        <w:right w:val="nil"/>
        <w:between w:val="nil"/>
      </w:pBdr>
      <w:tabs>
        <w:tab w:val="center" w:pos="4252"/>
        <w:tab w:val="right" w:pos="8504"/>
      </w:tabs>
      <w:ind w:right="-1134" w:hanging="1701"/>
      <w:jc w:val="right"/>
      <w:rPr>
        <w:color w:val="000000"/>
      </w:rPr>
    </w:pPr>
    <w:r>
      <w:rPr>
        <w:color w:val="000000"/>
      </w:rPr>
      <w:t xml:space="preserve">            </w:t>
    </w:r>
  </w:p>
  <w:p w14:paraId="4F557B2A" w14:textId="77777777" w:rsidR="00602188" w:rsidRDefault="00602188">
    <w:pPr>
      <w:pBdr>
        <w:top w:val="nil"/>
        <w:left w:val="nil"/>
        <w:bottom w:val="nil"/>
        <w:right w:val="nil"/>
        <w:between w:val="nil"/>
      </w:pBdr>
      <w:tabs>
        <w:tab w:val="center" w:pos="4252"/>
        <w:tab w:val="right" w:pos="8504"/>
      </w:tabs>
      <w:jc w:val="center"/>
      <w:rPr>
        <w:color w:val="000000"/>
      </w:rPr>
    </w:pPr>
  </w:p>
  <w:p w14:paraId="1D62C75D" w14:textId="77777777" w:rsidR="00602188" w:rsidRDefault="00602188">
    <w:pPr>
      <w:pBdr>
        <w:top w:val="nil"/>
        <w:left w:val="nil"/>
        <w:bottom w:val="nil"/>
        <w:right w:val="nil"/>
        <w:between w:val="nil"/>
      </w:pBdr>
      <w:tabs>
        <w:tab w:val="center" w:pos="4252"/>
        <w:tab w:val="right" w:pos="8504"/>
      </w:tabs>
      <w:jc w:val="center"/>
      <w:rPr>
        <w:color w:val="000000"/>
      </w:rPr>
    </w:pPr>
  </w:p>
  <w:p w14:paraId="7186EABD" w14:textId="77777777" w:rsidR="00602188" w:rsidRDefault="00602188">
    <w:pPr>
      <w:pBdr>
        <w:top w:val="nil"/>
        <w:left w:val="nil"/>
        <w:bottom w:val="nil"/>
        <w:right w:val="nil"/>
        <w:between w:val="nil"/>
      </w:pBdr>
      <w:tabs>
        <w:tab w:val="center" w:pos="4252"/>
        <w:tab w:val="right" w:pos="8504"/>
      </w:tabs>
      <w:jc w:val="center"/>
      <w:rPr>
        <w:color w:val="000000"/>
      </w:rPr>
    </w:pPr>
  </w:p>
  <w:p w14:paraId="5FE83817" w14:textId="77777777" w:rsidR="00602188" w:rsidRDefault="00EF2528">
    <w:pPr>
      <w:pBdr>
        <w:top w:val="nil"/>
        <w:left w:val="nil"/>
        <w:bottom w:val="nil"/>
        <w:right w:val="nil"/>
        <w:between w:val="nil"/>
      </w:pBdr>
      <w:tabs>
        <w:tab w:val="center" w:pos="4252"/>
        <w:tab w:val="right" w:pos="8504"/>
      </w:tabs>
      <w:jc w:val="center"/>
      <w:rPr>
        <w:color w:val="000000"/>
      </w:rPr>
    </w:pPr>
    <w:r>
      <w:rPr>
        <w:noProof/>
        <w:color w:val="000000"/>
      </w:rPr>
      <w:drawing>
        <wp:anchor distT="0" distB="0" distL="114300" distR="114300" simplePos="0" relativeHeight="251660288" behindDoc="1" locked="0" layoutInCell="1" allowOverlap="1" wp14:anchorId="66B8C115" wp14:editId="43D7772B">
          <wp:simplePos x="0" y="0"/>
          <wp:positionH relativeFrom="column">
            <wp:posOffset>2112010</wp:posOffset>
          </wp:positionH>
          <wp:positionV relativeFrom="paragraph">
            <wp:posOffset>635</wp:posOffset>
          </wp:positionV>
          <wp:extent cx="1321067" cy="656216"/>
          <wp:effectExtent l="0" t="0" r="0" b="4445"/>
          <wp:wrapNone/>
          <wp:docPr id="2"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321067" cy="656216"/>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A05B9"/>
    <w:multiLevelType w:val="multilevel"/>
    <w:tmpl w:val="7A84AF2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67727B"/>
    <w:multiLevelType w:val="multilevel"/>
    <w:tmpl w:val="6EA29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82145B"/>
    <w:multiLevelType w:val="multilevel"/>
    <w:tmpl w:val="3A6213F6"/>
    <w:lvl w:ilvl="0">
      <w:start w:val="1"/>
      <w:numFmt w:val="decimal"/>
      <w:lvlText w:val="%1."/>
      <w:lvlJc w:val="left"/>
      <w:pPr>
        <w:ind w:left="283" w:hanging="283"/>
      </w:pPr>
      <w:rPr>
        <w:rFonts w:ascii="Open Sans" w:eastAsia="Open Sans" w:hAnsi="Open Sans" w:cs="Open Sans"/>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17080641">
    <w:abstractNumId w:val="1"/>
  </w:num>
  <w:num w:numId="2" w16cid:durableId="648944921">
    <w:abstractNumId w:val="2"/>
  </w:num>
  <w:num w:numId="3" w16cid:durableId="1665861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188"/>
    <w:rsid w:val="001D0AB5"/>
    <w:rsid w:val="001E24A0"/>
    <w:rsid w:val="00335277"/>
    <w:rsid w:val="00602188"/>
    <w:rsid w:val="006C654F"/>
    <w:rsid w:val="007E7F1D"/>
    <w:rsid w:val="008B78AD"/>
    <w:rsid w:val="009C22A5"/>
    <w:rsid w:val="00C820BC"/>
    <w:rsid w:val="00E93EB0"/>
    <w:rsid w:val="00EF2528"/>
    <w:rsid w:val="00F8346F"/>
    <w:rsid w:val="00F85E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0E437"/>
  <w15:docId w15:val="{B7808079-1260-884A-BDD5-B05A152E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25A"/>
    <w:rPr>
      <w:lang w:eastAsia="en-US"/>
    </w:rPr>
  </w:style>
  <w:style w:type="paragraph" w:styleId="Ttulo1">
    <w:name w:val="heading 1"/>
    <w:basedOn w:val="Normal"/>
    <w:next w:val="Normal"/>
    <w:link w:val="Ttulo1Char"/>
    <w:uiPriority w:val="9"/>
    <w:qFormat/>
    <w:rsid w:val="0064125A"/>
    <w:pPr>
      <w:keepNext/>
      <w:jc w:val="center"/>
      <w:outlineLvl w:val="0"/>
    </w:pPr>
    <w:rPr>
      <w:rFonts w:ascii="Tahoma" w:hAnsi="Tahoma"/>
      <w:b/>
      <w:sz w:val="24"/>
      <w:szCs w:val="24"/>
      <w:lang w:val="x-none" w:eastAsia="x-none"/>
    </w:rPr>
  </w:style>
  <w:style w:type="paragraph" w:styleId="Ttulo2">
    <w:name w:val="heading 2"/>
    <w:basedOn w:val="Normal"/>
    <w:next w:val="Normal"/>
    <w:link w:val="Ttulo2Char"/>
    <w:uiPriority w:val="9"/>
    <w:semiHidden/>
    <w:unhideWhenUsed/>
    <w:qFormat/>
    <w:rsid w:val="00704328"/>
    <w:pPr>
      <w:keepNext/>
      <w:keepLines/>
      <w:spacing w:before="40"/>
      <w:outlineLvl w:val="1"/>
    </w:pPr>
    <w:rPr>
      <w:rFonts w:ascii="Calibri Light" w:hAnsi="Calibri Light"/>
      <w:color w:val="2E74B5"/>
      <w:sz w:val="26"/>
      <w:szCs w:val="26"/>
    </w:rPr>
  </w:style>
  <w:style w:type="paragraph" w:styleId="Ttulo3">
    <w:name w:val="heading 3"/>
    <w:basedOn w:val="Normal"/>
    <w:next w:val="Normal"/>
    <w:link w:val="Ttulo3Char"/>
    <w:uiPriority w:val="9"/>
    <w:semiHidden/>
    <w:unhideWhenUsed/>
    <w:qFormat/>
    <w:rsid w:val="0064125A"/>
    <w:pPr>
      <w:keepNext/>
      <w:spacing w:before="240" w:after="60"/>
      <w:outlineLvl w:val="2"/>
    </w:pPr>
    <w:rPr>
      <w:rFonts w:ascii="Cambria" w:hAnsi="Cambria"/>
      <w:b/>
      <w:bCs/>
      <w:sz w:val="26"/>
      <w:szCs w:val="26"/>
      <w:lang w:val="x-none" w:eastAsia="x-none"/>
    </w:rPr>
  </w:style>
  <w:style w:type="paragraph" w:styleId="Ttulo4">
    <w:name w:val="heading 4"/>
    <w:basedOn w:val="Normal"/>
    <w:next w:val="Normal"/>
    <w:link w:val="Ttulo4Char"/>
    <w:uiPriority w:val="9"/>
    <w:semiHidden/>
    <w:unhideWhenUsed/>
    <w:qFormat/>
    <w:rsid w:val="0064125A"/>
    <w:pPr>
      <w:keepNext/>
      <w:spacing w:line="360" w:lineRule="auto"/>
      <w:outlineLvl w:val="3"/>
    </w:pPr>
    <w:rPr>
      <w:rFonts w:ascii="Tahoma" w:hAnsi="Tahoma"/>
      <w:b/>
      <w:bCs/>
      <w:sz w:val="22"/>
      <w:szCs w:val="24"/>
      <w:lang w:val="x-none" w:eastAsia="x-none"/>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link w:val="TtuloChar"/>
    <w:uiPriority w:val="10"/>
    <w:qFormat/>
    <w:rsid w:val="00704328"/>
    <w:pPr>
      <w:jc w:val="center"/>
    </w:pPr>
    <w:rPr>
      <w:b/>
      <w:bCs/>
      <w:sz w:val="28"/>
      <w:szCs w:val="28"/>
      <w:lang w:eastAsia="pt-BR"/>
    </w:rPr>
  </w:style>
  <w:style w:type="paragraph" w:styleId="Cabealho">
    <w:name w:val="header"/>
    <w:basedOn w:val="Normal"/>
    <w:link w:val="CabealhoChar"/>
    <w:uiPriority w:val="99"/>
    <w:unhideWhenUsed/>
    <w:rsid w:val="00D10BE9"/>
    <w:pPr>
      <w:tabs>
        <w:tab w:val="center" w:pos="4252"/>
        <w:tab w:val="right" w:pos="8504"/>
      </w:tabs>
    </w:pPr>
  </w:style>
  <w:style w:type="character" w:customStyle="1" w:styleId="CabealhoChar">
    <w:name w:val="Cabeçalho Char"/>
    <w:basedOn w:val="Fontepargpadro"/>
    <w:link w:val="Cabealho"/>
    <w:uiPriority w:val="99"/>
    <w:rsid w:val="00D10BE9"/>
  </w:style>
  <w:style w:type="paragraph" w:styleId="Rodap">
    <w:name w:val="footer"/>
    <w:basedOn w:val="Normal"/>
    <w:link w:val="RodapChar"/>
    <w:uiPriority w:val="99"/>
    <w:unhideWhenUsed/>
    <w:rsid w:val="00D10BE9"/>
    <w:pPr>
      <w:tabs>
        <w:tab w:val="center" w:pos="4252"/>
        <w:tab w:val="right" w:pos="8504"/>
      </w:tabs>
    </w:pPr>
  </w:style>
  <w:style w:type="character" w:customStyle="1" w:styleId="RodapChar">
    <w:name w:val="Rodapé Char"/>
    <w:basedOn w:val="Fontepargpadro"/>
    <w:link w:val="Rodap"/>
    <w:uiPriority w:val="99"/>
    <w:rsid w:val="00D10BE9"/>
  </w:style>
  <w:style w:type="character" w:customStyle="1" w:styleId="Ttulo1Char">
    <w:name w:val="Título 1 Char"/>
    <w:link w:val="Ttulo1"/>
    <w:rsid w:val="0064125A"/>
    <w:rPr>
      <w:rFonts w:ascii="Tahoma" w:eastAsia="Times New Roman" w:hAnsi="Tahoma" w:cs="Times New Roman"/>
      <w:b/>
      <w:sz w:val="24"/>
      <w:szCs w:val="24"/>
      <w:lang w:val="x-none" w:eastAsia="x-none"/>
    </w:rPr>
  </w:style>
  <w:style w:type="character" w:customStyle="1" w:styleId="Ttulo3Char">
    <w:name w:val="Título 3 Char"/>
    <w:link w:val="Ttulo3"/>
    <w:rsid w:val="0064125A"/>
    <w:rPr>
      <w:rFonts w:ascii="Cambria" w:eastAsia="Times New Roman" w:hAnsi="Cambria" w:cs="Times New Roman"/>
      <w:b/>
      <w:bCs/>
      <w:sz w:val="26"/>
      <w:szCs w:val="26"/>
      <w:lang w:val="x-none" w:eastAsia="x-none"/>
    </w:rPr>
  </w:style>
  <w:style w:type="character" w:customStyle="1" w:styleId="Ttulo4Char">
    <w:name w:val="Título 4 Char"/>
    <w:link w:val="Ttulo4"/>
    <w:rsid w:val="0064125A"/>
    <w:rPr>
      <w:rFonts w:ascii="Tahoma" w:eastAsia="Times New Roman" w:hAnsi="Tahoma" w:cs="Times New Roman"/>
      <w:b/>
      <w:bCs/>
      <w:szCs w:val="24"/>
      <w:lang w:val="x-none" w:eastAsia="x-none"/>
    </w:rPr>
  </w:style>
  <w:style w:type="paragraph" w:styleId="Recuodecorpodetexto">
    <w:name w:val="Body Text Indent"/>
    <w:basedOn w:val="Normal"/>
    <w:link w:val="RecuodecorpodetextoChar"/>
    <w:unhideWhenUsed/>
    <w:rsid w:val="0064125A"/>
    <w:pPr>
      <w:ind w:left="1080"/>
    </w:pPr>
    <w:rPr>
      <w:sz w:val="24"/>
    </w:rPr>
  </w:style>
  <w:style w:type="character" w:customStyle="1" w:styleId="RecuodecorpodetextoChar">
    <w:name w:val="Recuo de corpo de texto Char"/>
    <w:link w:val="Recuodecorpodetexto"/>
    <w:rsid w:val="0064125A"/>
    <w:rPr>
      <w:rFonts w:ascii="Times New Roman" w:eastAsia="Times New Roman" w:hAnsi="Times New Roman" w:cs="Times New Roman"/>
      <w:sz w:val="24"/>
      <w:szCs w:val="20"/>
    </w:rPr>
  </w:style>
  <w:style w:type="paragraph" w:styleId="Textodebalo">
    <w:name w:val="Balloon Text"/>
    <w:basedOn w:val="Normal"/>
    <w:link w:val="TextodebaloChar"/>
    <w:uiPriority w:val="99"/>
    <w:semiHidden/>
    <w:unhideWhenUsed/>
    <w:rsid w:val="0064125A"/>
    <w:rPr>
      <w:rFonts w:ascii="Segoe UI" w:hAnsi="Segoe UI" w:cs="Segoe UI"/>
      <w:sz w:val="18"/>
      <w:szCs w:val="18"/>
    </w:rPr>
  </w:style>
  <w:style w:type="character" w:customStyle="1" w:styleId="TextodebaloChar">
    <w:name w:val="Texto de balão Char"/>
    <w:link w:val="Textodebalo"/>
    <w:uiPriority w:val="99"/>
    <w:semiHidden/>
    <w:rsid w:val="0064125A"/>
    <w:rPr>
      <w:rFonts w:ascii="Segoe UI" w:eastAsia="Times New Roman" w:hAnsi="Segoe UI" w:cs="Segoe UI"/>
      <w:sz w:val="18"/>
      <w:szCs w:val="18"/>
    </w:rPr>
  </w:style>
  <w:style w:type="paragraph" w:styleId="PargrafodaLista">
    <w:name w:val="List Paragraph"/>
    <w:basedOn w:val="Normal"/>
    <w:uiPriority w:val="34"/>
    <w:qFormat/>
    <w:rsid w:val="00ED47CF"/>
    <w:pPr>
      <w:ind w:left="720"/>
      <w:contextualSpacing/>
    </w:pPr>
  </w:style>
  <w:style w:type="character" w:styleId="Nmerodepgina">
    <w:name w:val="page number"/>
    <w:basedOn w:val="Fontepargpadro"/>
    <w:uiPriority w:val="99"/>
    <w:semiHidden/>
    <w:unhideWhenUsed/>
    <w:rsid w:val="003918EB"/>
  </w:style>
  <w:style w:type="character" w:styleId="Refdecomentrio">
    <w:name w:val="annotation reference"/>
    <w:uiPriority w:val="99"/>
    <w:semiHidden/>
    <w:unhideWhenUsed/>
    <w:rsid w:val="00287FC4"/>
    <w:rPr>
      <w:sz w:val="16"/>
      <w:szCs w:val="16"/>
    </w:rPr>
  </w:style>
  <w:style w:type="paragraph" w:styleId="Textodecomentrio">
    <w:name w:val="annotation text"/>
    <w:basedOn w:val="Normal"/>
    <w:link w:val="TextodecomentrioChar"/>
    <w:uiPriority w:val="99"/>
    <w:semiHidden/>
    <w:unhideWhenUsed/>
    <w:rsid w:val="00287FC4"/>
  </w:style>
  <w:style w:type="character" w:customStyle="1" w:styleId="TextodecomentrioChar">
    <w:name w:val="Texto de comentário Char"/>
    <w:link w:val="Textodecomentrio"/>
    <w:uiPriority w:val="99"/>
    <w:semiHidden/>
    <w:rsid w:val="00287FC4"/>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287FC4"/>
    <w:rPr>
      <w:b/>
      <w:bCs/>
    </w:rPr>
  </w:style>
  <w:style w:type="character" w:customStyle="1" w:styleId="AssuntodocomentrioChar">
    <w:name w:val="Assunto do comentário Char"/>
    <w:link w:val="Assuntodocomentrio"/>
    <w:uiPriority w:val="99"/>
    <w:semiHidden/>
    <w:rsid w:val="00287FC4"/>
    <w:rPr>
      <w:rFonts w:ascii="Times New Roman" w:eastAsia="Times New Roman" w:hAnsi="Times New Roman" w:cs="Times New Roman"/>
      <w:b/>
      <w:bCs/>
      <w:sz w:val="20"/>
      <w:szCs w:val="20"/>
    </w:rPr>
  </w:style>
  <w:style w:type="character" w:customStyle="1" w:styleId="Ttulo2Char">
    <w:name w:val="Título 2 Char"/>
    <w:link w:val="Ttulo2"/>
    <w:uiPriority w:val="9"/>
    <w:rsid w:val="00704328"/>
    <w:rPr>
      <w:rFonts w:ascii="Calibri Light" w:eastAsia="Times New Roman" w:hAnsi="Calibri Light" w:cs="Times New Roman"/>
      <w:color w:val="2E74B5"/>
      <w:sz w:val="26"/>
      <w:szCs w:val="26"/>
    </w:rPr>
  </w:style>
  <w:style w:type="character" w:customStyle="1" w:styleId="apple-converted-space">
    <w:name w:val="apple-converted-space"/>
    <w:rsid w:val="00704328"/>
  </w:style>
  <w:style w:type="paragraph" w:styleId="Corpodetexto3">
    <w:name w:val="Body Text 3"/>
    <w:basedOn w:val="Normal"/>
    <w:link w:val="Corpodetexto3Char"/>
    <w:uiPriority w:val="99"/>
    <w:unhideWhenUsed/>
    <w:rsid w:val="00704328"/>
    <w:pPr>
      <w:spacing w:after="120"/>
    </w:pPr>
    <w:rPr>
      <w:sz w:val="16"/>
      <w:szCs w:val="16"/>
    </w:rPr>
  </w:style>
  <w:style w:type="character" w:customStyle="1" w:styleId="Corpodetexto3Char">
    <w:name w:val="Corpo de texto 3 Char"/>
    <w:link w:val="Corpodetexto3"/>
    <w:uiPriority w:val="99"/>
    <w:rsid w:val="00704328"/>
    <w:rPr>
      <w:rFonts w:ascii="Times New Roman" w:eastAsia="Times New Roman" w:hAnsi="Times New Roman" w:cs="Times New Roman"/>
      <w:sz w:val="16"/>
      <w:szCs w:val="16"/>
    </w:rPr>
  </w:style>
  <w:style w:type="character" w:customStyle="1" w:styleId="TtuloChar">
    <w:name w:val="Título Char"/>
    <w:link w:val="Ttulo"/>
    <w:rsid w:val="00704328"/>
    <w:rPr>
      <w:rFonts w:ascii="Times New Roman" w:eastAsia="Times New Roman" w:hAnsi="Times New Roman" w:cs="Times New Roman"/>
      <w:b/>
      <w:bCs/>
      <w:sz w:val="28"/>
      <w:szCs w:val="28"/>
      <w:lang w:eastAsia="pt-BR"/>
    </w:rPr>
  </w:style>
  <w:style w:type="paragraph" w:customStyle="1" w:styleId="EstiloArial10pt">
    <w:name w:val="Estilo Arial 10 pt"/>
    <w:basedOn w:val="Normal"/>
    <w:link w:val="EstiloArial10ptChar"/>
    <w:autoRedefine/>
    <w:rsid w:val="00704328"/>
    <w:pPr>
      <w:widowControl w:val="0"/>
      <w:adjustRightInd w:val="0"/>
      <w:spacing w:before="20" w:after="20"/>
      <w:ind w:left="170" w:hanging="170"/>
      <w:textAlignment w:val="baseline"/>
    </w:pPr>
    <w:rPr>
      <w:rFonts w:ascii="Arial" w:hAnsi="Arial" w:cs="Arial"/>
      <w:lang w:eastAsia="pt-BR"/>
    </w:rPr>
  </w:style>
  <w:style w:type="character" w:customStyle="1" w:styleId="EstiloArial10ptChar">
    <w:name w:val="Estilo Arial 10 pt Char"/>
    <w:link w:val="EstiloArial10pt"/>
    <w:rsid w:val="00704328"/>
    <w:rPr>
      <w:rFonts w:ascii="Arial" w:eastAsia="Times New Roman" w:hAnsi="Arial" w:cs="Arial"/>
      <w:sz w:val="20"/>
      <w:szCs w:val="20"/>
      <w:lang w:eastAsia="pt-BR"/>
    </w:rPr>
  </w:style>
  <w:style w:type="paragraph" w:customStyle="1" w:styleId="EstiloEstiloJustificadoNegrito">
    <w:name w:val="Estilo Estilo Justificado + Negrito"/>
    <w:basedOn w:val="Normal"/>
    <w:link w:val="EstiloEstiloJustificadoNegritoChar"/>
    <w:rsid w:val="00704328"/>
    <w:pPr>
      <w:widowControl w:val="0"/>
      <w:adjustRightInd w:val="0"/>
      <w:spacing w:before="120" w:after="120" w:line="360" w:lineRule="atLeast"/>
      <w:jc w:val="both"/>
      <w:textAlignment w:val="baseline"/>
    </w:pPr>
    <w:rPr>
      <w:rFonts w:ascii="Arial" w:hAnsi="Arial"/>
      <w:b/>
      <w:bCs/>
      <w:lang w:eastAsia="pt-BR"/>
    </w:rPr>
  </w:style>
  <w:style w:type="character" w:customStyle="1" w:styleId="EstiloEstiloJustificadoNegritoChar">
    <w:name w:val="Estilo Estilo Justificado + Negrito Char"/>
    <w:link w:val="EstiloEstiloJustificadoNegrito"/>
    <w:rsid w:val="00704328"/>
    <w:rPr>
      <w:rFonts w:ascii="Arial" w:eastAsia="Times New Roman" w:hAnsi="Arial" w:cs="Times New Roman"/>
      <w:b/>
      <w:bCs/>
      <w:sz w:val="20"/>
      <w:szCs w:val="20"/>
      <w:lang w:eastAsia="pt-BR"/>
    </w:rPr>
  </w:style>
  <w:style w:type="character" w:styleId="Forte">
    <w:name w:val="Strong"/>
    <w:uiPriority w:val="22"/>
    <w:qFormat/>
    <w:rsid w:val="00C50AF0"/>
    <w:rPr>
      <w:b/>
      <w:bCs/>
    </w:rPr>
  </w:style>
  <w:style w:type="paragraph" w:styleId="Corpodetexto">
    <w:name w:val="Body Text"/>
    <w:basedOn w:val="Normal"/>
    <w:link w:val="CorpodetextoChar"/>
    <w:uiPriority w:val="99"/>
    <w:semiHidden/>
    <w:unhideWhenUsed/>
    <w:rsid w:val="00805446"/>
    <w:pPr>
      <w:spacing w:after="120"/>
    </w:pPr>
  </w:style>
  <w:style w:type="character" w:customStyle="1" w:styleId="CorpodetextoChar">
    <w:name w:val="Corpo de texto Char"/>
    <w:link w:val="Corpodetexto"/>
    <w:uiPriority w:val="99"/>
    <w:semiHidden/>
    <w:rsid w:val="00805446"/>
    <w:rPr>
      <w:rFonts w:ascii="Times New Roman" w:eastAsia="Times New Roman" w:hAnsi="Times New Roman" w:cs="Times New Roman"/>
      <w:sz w:val="20"/>
      <w:szCs w:val="20"/>
    </w:rPr>
  </w:style>
  <w:style w:type="paragraph" w:styleId="NormalWeb">
    <w:name w:val="Normal (Web)"/>
    <w:basedOn w:val="Normal"/>
    <w:uiPriority w:val="99"/>
    <w:semiHidden/>
    <w:unhideWhenUsed/>
    <w:rsid w:val="00337DAB"/>
    <w:pPr>
      <w:spacing w:before="100" w:beforeAutospacing="1" w:after="100" w:afterAutospacing="1"/>
    </w:pPr>
    <w:rPr>
      <w:sz w:val="24"/>
      <w:szCs w:val="24"/>
      <w:lang w:eastAsia="pt-BR"/>
    </w:rPr>
  </w:style>
  <w:style w:type="character" w:styleId="Refdenotaderodap">
    <w:name w:val="footnote reference"/>
    <w:rsid w:val="004A40B8"/>
    <w:rPr>
      <w:w w:val="100"/>
      <w:position w:val="-1"/>
      <w:effect w:val="none"/>
      <w:vertAlign w:val="superscript"/>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UkGiGDJu04vIK2iIobmIq37wog==">AMUW2mU+tOqQT8cyFkZYNoStp/5I1pv4iYJ4r/c9s+K/gLBnCUbjiv6ysODOtGYKWkyTCxr5XfYf4iy9qTZXeBUfn82WQpmOmfNEWv9MzOUqp9GrqH0up8E=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1388</Words>
  <Characters>7500</Characters>
  <Application>Microsoft Office Word</Application>
  <DocSecurity>0</DocSecurity>
  <Lines>62</Lines>
  <Paragraphs>17</Paragraphs>
  <ScaleCrop>false</ScaleCrop>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Rafaella Bruna</dc:creator>
  <cp:lastModifiedBy>Microsoft Office User</cp:lastModifiedBy>
  <cp:revision>5</cp:revision>
  <dcterms:created xsi:type="dcterms:W3CDTF">2022-10-28T19:47:00Z</dcterms:created>
  <dcterms:modified xsi:type="dcterms:W3CDTF">2022-10-31T19:40:00Z</dcterms:modified>
</cp:coreProperties>
</file>