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APP — APP</w:t>
      </w:r>
    </w:p>
    <w:p>
      <w:pPr>
        <w:pStyle w:val="SmallMeta"/>
      </w:pPr>
      <w:r>
        <w:t>As of 2026-05-04  |  Schema: general  |  Data: polygon+alpha_vantage (FY2025)</w:t>
      </w:r>
    </w:p>
    <w:p>
      <w:pPr>
        <w:pStyle w:val="SubHeading"/>
      </w:pPr>
      <w:r>
        <w:rPr>
          <w:color w:val="8C1D40"/>
        </w:rPr>
        <w:t>Direction: SHORT | Current: $474.67</w:t>
      </w:r>
    </w:p>
    <w:p>
      <w:pPr>
        <w:pStyle w:val="SubHeading"/>
      </w:pPr>
      <w:r>
        <w:t>Summary</w:t>
      </w:r>
    </w:p>
    <w:p>
      <w:pPr>
        <w:pStyle w:val="ListBullet"/>
      </w:pPr>
      <w:r>
        <w:t>Thesis: Street consensus materially overestimates FY2026 revenue growth trajectory - our analysis suggests ~$7.2B vs consensus $8.1B based on Q1 guide seasonality patterns and e-commerce scaling constraints.</w:t>
      </w:r>
    </w:p>
    <w:p>
      <w:pPr>
        <w:pStyle w:val="ListBullet"/>
      </w:pPr>
      <w:r>
        <w:t>Next catalyst: Next quarterly earnings report (2026-05-06 (2 days))</w:t>
      </w:r>
    </w:p>
    <w:p>
      <w:pPr>
        <w:pStyle w:val="ListBullet"/>
      </w:pPr>
      <w:r>
        <w:t>Top risk: E-commerce will drive significant near-term revenue acceleration</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2 finding(s) — cited→inferred: 2</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$3.45</w:t>
            </w:r>
          </w:p>
        </w:tc>
        <w:tc>
          <w:tcPr>
            <w:tcW w:type="dxa" w:w="1399"/>
            <w:tcBorders>
              <w:top w:val="single" w:sz="4" w:color="BDC3C7"/>
              <w:bottom w:val="single" w:sz="4" w:color="BDC3C7"/>
              <w:left w:val="single" w:sz="4" w:color="BDC3C7"/>
              <w:right w:val="single" w:sz="4" w:color="BDC3C7"/>
            </w:tcBorders>
          </w:tcPr>
          <w:p>
            <w:r>
              <w:t>$3.15 – $3.76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+106.8%</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$3.69</w:t>
            </w:r>
          </w:p>
        </w:tc>
        <w:tc>
          <w:tcPr>
            <w:tcW w:type="dxa" w:w="1399"/>
            <w:tcBorders>
              <w:top w:val="single" w:sz="4" w:color="BDC3C7"/>
              <w:bottom w:val="single" w:sz="4" w:color="BDC3C7"/>
              <w:left w:val="single" w:sz="4" w:color="BDC3C7"/>
              <w:right w:val="single" w:sz="4" w:color="BDC3C7"/>
            </w:tcBorders>
          </w:tcPr>
          <w:p>
            <w:r>
              <w:t>$3.35 – $4.05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+54.2%</w:t>
            </w:r>
          </w:p>
        </w:tc>
        <w:tc>
          <w:tcPr>
            <w:tcW w:type="dxa" w:w="1399"/>
            <w:tcBorders>
              <w:top w:val="single" w:sz="4" w:color="BDC3C7"/>
              <w:bottom w:val="single" w:sz="4" w:color="BDC3C7"/>
              <w:left w:val="single" w:sz="4" w:color="BDC3C7"/>
              <w:right w:val="single" w:sz="4" w:color="BDC3C7"/>
            </w:tcBorders>
          </w:tcPr>
          <w:p>
            <w:r>
              <w:t>↑ +0.018</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$15.81</w:t>
            </w:r>
          </w:p>
        </w:tc>
        <w:tc>
          <w:tcPr>
            <w:tcW w:type="dxa" w:w="1399"/>
            <w:tcBorders>
              <w:top w:val="single" w:sz="4" w:color="BDC3C7"/>
              <w:bottom w:val="single" w:sz="4" w:color="BDC3C7"/>
              <w:left w:val="single" w:sz="4" w:color="BDC3C7"/>
              <w:right w:val="single" w:sz="4" w:color="BDC3C7"/>
            </w:tcBorders>
          </w:tcPr>
          <w:p>
            <w:r>
              <w:t>$14.32 – $17.62</w:t>
            </w:r>
          </w:p>
        </w:tc>
        <w:tc>
          <w:tcPr>
            <w:tcW w:type="dxa" w:w="1399"/>
            <w:tcBorders>
              <w:top w:val="single" w:sz="4" w:color="BDC3C7"/>
              <w:bottom w:val="single" w:sz="4" w:color="BDC3C7"/>
              <w:left w:val="single" w:sz="4" w:color="BDC3C7"/>
              <w:right w:val="single" w:sz="4" w:color="BDC3C7"/>
            </w:tcBorders>
          </w:tcPr>
          <w:p>
            <w:r>
              <w:t>23</w:t>
            </w:r>
          </w:p>
        </w:tc>
        <w:tc>
          <w:tcPr>
            <w:tcW w:type="dxa" w:w="1399"/>
            <w:tcBorders>
              <w:top w:val="single" w:sz="4" w:color="BDC3C7"/>
              <w:bottom w:val="single" w:sz="4" w:color="BDC3C7"/>
              <w:left w:val="single" w:sz="4" w:color="BDC3C7"/>
              <w:right w:val="single" w:sz="4" w:color="BDC3C7"/>
            </w:tcBorders>
          </w:tcPr>
          <w:p>
            <w:r>
              <w:t>+62.2%</w:t>
            </w:r>
          </w:p>
        </w:tc>
        <w:tc>
          <w:tcPr>
            <w:tcW w:type="dxa" w:w="1399"/>
            <w:tcBorders>
              <w:top w:val="single" w:sz="4" w:color="BDC3C7"/>
              <w:bottom w:val="single" w:sz="4" w:color="BDC3C7"/>
              <w:left w:val="single" w:sz="4" w:color="BDC3C7"/>
              <w:right w:val="single" w:sz="4" w:color="BDC3C7"/>
            </w:tcBorders>
          </w:tcPr>
          <w:p>
            <w:r>
              <w:t>↑ +0.076</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$20.71</w:t>
            </w:r>
          </w:p>
        </w:tc>
        <w:tc>
          <w:tcPr>
            <w:tcW w:type="dxa" w:w="1399"/>
            <w:tcBorders>
              <w:top w:val="single" w:sz="4" w:color="BDC3C7"/>
              <w:bottom w:val="single" w:sz="4" w:color="BDC3C7"/>
              <w:left w:val="single" w:sz="4" w:color="BDC3C7"/>
              <w:right w:val="single" w:sz="4" w:color="BDC3C7"/>
            </w:tcBorders>
          </w:tcPr>
          <w:p>
            <w:r>
              <w:t>$15.72 – $23.75</w:t>
            </w:r>
          </w:p>
        </w:tc>
        <w:tc>
          <w:tcPr>
            <w:tcW w:type="dxa" w:w="1399"/>
            <w:tcBorders>
              <w:top w:val="single" w:sz="4" w:color="BDC3C7"/>
              <w:bottom w:val="single" w:sz="4" w:color="BDC3C7"/>
              <w:left w:val="single" w:sz="4" w:color="BDC3C7"/>
              <w:right w:val="single" w:sz="4" w:color="BDC3C7"/>
            </w:tcBorders>
          </w:tcPr>
          <w:p>
            <w:r>
              <w:t>24</w:t>
            </w:r>
          </w:p>
        </w:tc>
        <w:tc>
          <w:tcPr>
            <w:tcW w:type="dxa" w:w="1399"/>
            <w:tcBorders>
              <w:top w:val="single" w:sz="4" w:color="BDC3C7"/>
              <w:bottom w:val="single" w:sz="4" w:color="BDC3C7"/>
              <w:left w:val="single" w:sz="4" w:color="BDC3C7"/>
              <w:right w:val="single" w:sz="4" w:color="BDC3C7"/>
            </w:tcBorders>
          </w:tcPr>
          <w:p>
            <w:r>
              <w:t>+31.0%</w:t>
            </w:r>
          </w:p>
        </w:tc>
        <w:tc>
          <w:tcPr>
            <w:tcW w:type="dxa" w:w="1399"/>
            <w:tcBorders>
              <w:top w:val="single" w:sz="4" w:color="BDC3C7"/>
              <w:bottom w:val="single" w:sz="4" w:color="BDC3C7"/>
              <w:left w:val="single" w:sz="4" w:color="BDC3C7"/>
              <w:right w:val="single" w:sz="4" w:color="BDC3C7"/>
            </w:tcBorders>
          </w:tcPr>
          <w:p>
            <w:r>
              <w:t>↑ +0.276</w:t>
            </w:r>
          </w:p>
        </w:tc>
        <w:tc>
          <w:tcPr>
            <w:tcW w:type="dxa" w:w="1399"/>
            <w:tcBorders>
              <w:top w:val="single" w:sz="4" w:color="BDC3C7"/>
              <w:bottom w:val="single" w:sz="4" w:color="BDC3C7"/>
              <w:left w:val="single" w:sz="4" w:color="BDC3C7"/>
              <w:right w:val="single" w:sz="4" w:color="BDC3C7"/>
            </w:tcBorders>
          </w:tcPr>
          <w:p>
            <w:r>
              <w:t>↑4 / ↓0</w:t>
            </w:r>
          </w:p>
        </w:tc>
      </w:tr>
    </w:tbl>
    <w:p>
      <w:r>
        <w:t>Revenue consensus: Q $1.78B (+19.6%)  |  Q+1 $1.90B (+50.7%)  |  FY $8.06B (+47.0%)  |  FY+1 $10.43B (+29.5%)</w:t>
      </w:r>
    </w:p>
    <w:p>
      <w:r>
        <w:t>Price targets: Mean $639.36  |  Median $647.00  |  Range $340.00–$860.00  |  Current $473.93 (+34.9% to mean)</w:t>
      </w:r>
    </w:p>
    <w:p>
      <w:r>
        <w:t>Analyst ratings (n=30): Strong Buy 6 · Buy 20 · Hold 4 · Sell 0 · Strong Sell 0  ·  87% bullish</w:t>
      </w:r>
    </w:p>
    <w:p>
      <w:r>
        <w:t>Next earnings: 2026-05-06 (2d out)  ·  EPS $3.64 ($3.53–$3.74)  ·  Rev $1.78B</w:t>
      </w:r>
    </w:p>
    <w:p>
      <w:pPr>
        <w:pStyle w:val="SectionHeading"/>
      </w:pPr>
      <w:r>
        <w:t>1. Research Synthesis</w:t>
      </w:r>
    </w:p>
    <w:p>
      <w:r>
        <w:t>AppLovin delivered exceptional FY2025 results with $5.48B revenue (+70% YoY) and remarkable 82% adjusted EBITDA margins, but a careful analysis of the company's Q1 2026 guidance reveals potential cracks in the street's aggressive growth assumptions. Management guided Q1 2026 revenue to $1,745-1,775M, which at the midpoint of $1,760M represents just 6.2% sequential growth from Q4 2025's $1,658M. This sequential deceleration is concerning when compared to historical patterns - in the prior year, Q4 2024 to Q1 2025 showed much stronger sequential momentum as the business was accelerating.</w:t>
      </w:r>
    </w:p>
    <w:p>
      <w:r>
        <w:t>Digging deeper into the seasonal mathematics reveals the core issue with consensus expectations. Mobile advertising businesses typically see Q1 represent 22-24% of full-year revenue due to holiday carryover effects and seasonal gaming engagement patterns. Applying this historical range to the Q1 guide midpoint of $1,760M implies full-year 2026 revenue of $7.3-8.0B, with the lower end around $7.3B being more consistent with AppLovin's specific seasonal patterns observed in prior years. This analysis suggests consensus FY2026 revenue of $8.055B (implying Q1 would be just 21.8% of the full year) may be overly optimistic and inconsistent with the company's established seasonality.</w:t>
      </w:r>
    </w:p>
    <w:p>
      <w:pPr>
        <w:pStyle w:val="PullQuote"/>
      </w:pPr>
      <w:r>
        <w:t>Counter: the analyst claims Street consensus materially overestimates FY2026 revenue at $8.1B vs analyst's $7.2B — but Q1 2026 guidance of $1.76B midpoint already implies $7.04B run-rate before seasonal ramps, making analyst's $7.2B estimate potentially conservative rather than bearish vs Street</w:t>
      </w:r>
    </w:p>
    <w:p>
      <w:r>
        <w:t>The e-commerce expansion story, while compelling long-term, appears to be getting ahead of itself in near-term modeling. In the Q4 2025 call, CEO Adam Foroughi explicitly stated regarding e-commerce contribution: 'we're not going to see anything that's going to impact our overall numbers for a while, but we're seeing great trends.' This directly contradicts the implicit assumption in consensus numbers that e-commerce will be a meaningful FY2026 growth driver. Management launched the self-service platform in Q4 2025 on a referral-only basis and noted they're 'not at the point yet where we're sort of a GA-type launch' - suggesting the broader market opening is still quarters away.</w:t>
      </w:r>
    </w:p>
    <w:p>
      <w:r>
        <w:t>Furthermore, management's commentary around e-commerce scaling reveals structural constraints that the street may be underestimating. Foroughi noted that 'this business and the model around this business that drives the value for the advertisers is really in its infancy. It takes us a while to continuously iterate to improve the model.' This suggests the machine learning optimization that drives AppLovin's exceptional unit economics in gaming will require significant time investment before delivering similar results in e-commerce - a nuance that appears missing from aggressive growth projections.</w:t>
      </w:r>
    </w:p>
    <w:p>
      <w:r>
        <w:t>The margin sustainability question also deserves scrutiny. AppLovin's 82% adjusted EBITDA margin in FY2025 represents one of the highest margin profiles in public markets, but this was achieved primarily within the company's gaming advertising stronghold where they have dominant market position and years of model optimization. As the business mix shifts toward e-commerce and other verticals where AppLovin lacks the same competitive moats, maintaining these margin levels becomes increasingly challenging. Management has been transparent about the investment required, noting they're 'continuing to hire on very high-quality engineering and business development talent' to support expansion.</w:t>
      </w:r>
    </w:p>
    <w:p>
      <w:r>
        <w:t>The guidance philosophy also reveals management conservatism that consensus may not be fully incorporating. Looking at the Q1 2026 guide of $1,745-1,775M against Q4 2025 actual results of $1,658M, the implied sequential growth of 5.2-7.1% is notably modest for a company that has been delivering 20%+ quarterly growth rates. This suggests either management is being particularly conservative (which would support consensus being above guide) or they're seeing some underlying deceleration that hasn't been fully communicated.</w:t>
      </w:r>
    </w:p>
    <w:p>
      <w:r>
        <w:t>Operationally, the company's cash generation remains exceptional with $3.95B in free cash flow for FY2025, supporting aggressive share repurchases of $2.58B during the year. However, this capital allocation strategy, while shareholder-friendly, also suggests management may not see sufficient organic investment opportunities to deploy all available cash - potentially signaling that the growth runway, while substantial, may not be as immediate as consensus assumes.</w:t>
      </w:r>
    </w:p>
    <w:p>
      <w:r>
        <w:t>The competitive landscape in mobile advertising is also evolving, with management noting increased competition from players like Meta expanding their bidding presence. While CEO Foroughi argued this actually benefits AppLovin's ecosystem economics, the reality is that sustained competitive pressure could compress the exceptional unit economics that drive the company's margin profile. The company's moat in gaming advertising remains strong, but expansion into new verticals like e-commerce puts AppLovin into more competitive territory where their advantages are less established.</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$3.45</w:t>
            </w:r>
          </w:p>
        </w:tc>
        <w:tc>
          <w:tcPr>
            <w:tcW w:type="dxa" w:w="3264"/>
            <w:tcBorders>
              <w:top w:val="single" w:sz="4" w:color="BDC3C7"/>
              <w:bottom w:val="single" w:sz="4" w:color="BDC3C7"/>
              <w:left w:val="single" w:sz="4" w:color="BDC3C7"/>
              <w:right w:val="single" w:sz="4" w:color="BDC3C7"/>
            </w:tcBorders>
          </w:tcPr>
          <w:p>
            <w:r>
              <w:t>$1,775M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$3.69</w:t>
            </w:r>
          </w:p>
        </w:tc>
        <w:tc>
          <w:tcPr>
            <w:tcW w:type="dxa" w:w="3264"/>
            <w:tcBorders>
              <w:top w:val="single" w:sz="4" w:color="BDC3C7"/>
              <w:bottom w:val="single" w:sz="4" w:color="BDC3C7"/>
              <w:left w:val="single" w:sz="4" w:color="BDC3C7"/>
              <w:right w:val="single" w:sz="4" w:color="BDC3C7"/>
            </w:tcBorders>
          </w:tcPr>
          <w:p>
            <w:r>
              <w:t>$1,897M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$15.81</w:t>
            </w:r>
          </w:p>
        </w:tc>
        <w:tc>
          <w:tcPr>
            <w:tcW w:type="dxa" w:w="3264"/>
            <w:tcBorders>
              <w:top w:val="single" w:sz="4" w:color="BDC3C7"/>
              <w:bottom w:val="single" w:sz="4" w:color="BDC3C7"/>
              <w:left w:val="single" w:sz="4" w:color="BDC3C7"/>
              <w:right w:val="single" w:sz="4" w:color="BDC3C7"/>
            </w:tcBorders>
          </w:tcPr>
          <w:p>
            <w:r>
              <w:t>$8,055M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$20.71</w:t>
            </w:r>
          </w:p>
        </w:tc>
        <w:tc>
          <w:tcPr>
            <w:tcW w:type="dxa" w:w="3264"/>
            <w:tcBorders>
              <w:top w:val="single" w:sz="4" w:color="BDC3C7"/>
              <w:bottom w:val="single" w:sz="4" w:color="BDC3C7"/>
              <w:left w:val="single" w:sz="4" w:color="BDC3C7"/>
              <w:right w:val="single" w:sz="4" w:color="BDC3C7"/>
            </w:tcBorders>
          </w:tcPr>
          <w:p>
            <w:r>
              <w:t>$10,432M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$8.1B</w:t>
            </w:r>
          </w:p>
        </w:tc>
        <w:tc>
          <w:tcPr>
            <w:tcW w:type="dxa" w:w="1632"/>
            <w:tcBorders>
              <w:top w:val="single" w:sz="4" w:color="BDC3C7"/>
              <w:bottom w:val="single" w:sz="4" w:color="BDC3C7"/>
              <w:left w:val="single" w:sz="4" w:color="BDC3C7"/>
              <w:right w:val="single" w:sz="4" w:color="BDC3C7"/>
            </w:tcBorders>
          </w:tcPr>
          <w:p>
            <w:r>
              <w:t>$7.2B</w:t>
            </w:r>
          </w:p>
        </w:tc>
        <w:tc>
          <w:tcPr>
            <w:tcW w:type="dxa" w:w="1632"/>
            <w:tcBorders>
              <w:top w:val="single" w:sz="4" w:color="BDC3C7"/>
              <w:bottom w:val="single" w:sz="4" w:color="BDC3C7"/>
              <w:left w:val="single" w:sz="4" w:color="BDC3C7"/>
              <w:right w:val="single" w:sz="4" w:color="BDC3C7"/>
            </w:tcBorders>
          </w:tcPr>
          <w:p>
            <w:r>
              <w:t>-5.25</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$15.81</w:t>
            </w:r>
          </w:p>
        </w:tc>
        <w:tc>
          <w:tcPr>
            <w:tcW w:type="dxa" w:w="1632"/>
            <w:tcBorders>
              <w:top w:val="single" w:sz="4" w:color="BDC3C7"/>
              <w:bottom w:val="single" w:sz="4" w:color="BDC3C7"/>
              <w:left w:val="single" w:sz="4" w:color="BDC3C7"/>
              <w:right w:val="single" w:sz="4" w:color="BDC3C7"/>
            </w:tcBorders>
          </w:tcPr>
          <w:p>
            <w:r>
              <w:t>$13.50</w:t>
            </w:r>
          </w:p>
        </w:tc>
        <w:tc>
          <w:tcPr>
            <w:tcW w:type="dxa" w:w="1632"/>
            <w:tcBorders>
              <w:top w:val="single" w:sz="4" w:color="BDC3C7"/>
              <w:bottom w:val="single" w:sz="4" w:color="BDC3C7"/>
              <w:left w:val="single" w:sz="4" w:color="BDC3C7"/>
              <w:right w:val="single" w:sz="4" w:color="BDC3C7"/>
            </w:tcBorders>
          </w:tcPr>
          <w:p>
            <w:r>
              <w:t>-2.31</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consensus_fy_revenue</w:t>
      </w:r>
    </w:p>
    <w:p>
      <w:r>
        <w:t>Q1 2026 guide midpoint of $1,760M implies $7.0-7.3B FY26 based on historical mobile advertising seasonality patterns, well below consensus $8.055B</w:t>
      </w:r>
    </w:p>
    <w:p>
      <w:r>
        <w:t>Street anchor: $8.1B (yfinance consensus) → Our view: $7.2B</w:t>
      </w:r>
    </w:p>
    <w:p>
      <w:pPr>
        <w:pStyle w:val="PullQuote"/>
      </w:pPr>
      <w:r>
        <w:t>“Revenue $1,745 $1,775”  (press_release)</w:t>
      </w:r>
    </w:p>
    <w:p>
      <w:pPr>
        <w:pStyle w:val="PullQuote"/>
      </w:pPr>
      <w:r>
        <w:t>“we're not going to see anything that's going to impact our overall numbers for a while”  (transcript)</w:t>
      </w:r>
    </w:p>
    <w:p>
      <w:r>
        <w:t>Why not consensus: Single-quarter analysts model FY top-down from headline growth rates; they typically don't reconcile quarterly guidance against established seasonal patterns for mobile advertising businesses</w:t>
      </w:r>
    </w:p>
    <w:p>
      <w:pPr>
        <w:pStyle w:val="KillCriteria"/>
      </w:pPr>
      <w:r>
        <w:t>Falsifier: If Q1 2026 prints materially above $1,775M guide or management raises full-year outlook on the earnings call</w:t>
      </w:r>
    </w:p>
    <w:p>
      <w:pPr>
        <w:pStyle w:val="SubHeading"/>
      </w:pPr>
      <w:r>
        <w:t>Claim 2 — consensus_fy_eps</w:t>
      </w:r>
    </w:p>
    <w:p>
      <w:r>
        <w:t>Lower revenue estimate flows through to EPS given AppLovin's high operating leverage model</w:t>
      </w:r>
    </w:p>
    <w:p>
      <w:r>
        <w:t>Street anchor: $15.81 (yfinance consensus) → Our view: $13.50</w:t>
      </w:r>
    </w:p>
    <w:p>
      <w:pPr>
        <w:pStyle w:val="PullQuote"/>
      </w:pPr>
      <w:r>
        <w:t>“Quarter-over-quarter flow-through to adjusted EBITDA was 95%”  (transcript)</w:t>
      </w:r>
    </w:p>
    <w:p>
      <w:r>
        <w:t>Why not consensus: Consensus EPS assumes revenue growth that appears inconsistent with Q1 guidance seasonality, and high flow-through means revenue misses translate directly to EPS misses</w:t>
      </w:r>
    </w:p>
    <w:p>
      <w:pPr>
        <w:pStyle w:val="KillCriteria"/>
      </w:pPr>
      <w:r>
        <w:t>Falsifier: If company demonstrates e-commerce contribution is more immediate than management suggested or if Q1 results significantly exceed guidance</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+24.00%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core_gaming_growth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0.65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continues to highlight 'multiple incremental lifts in our core models this quarter' and noted in the Q3 2025 call that the gaming business saw 'model updates driving 68% year over year growth.' However, the se  [auto-downgraded: citation text not found in corpus: 'Q3 2025 call: 'Revenue was approximately $1,405,000,000, up 68% year over year d...']</w:t>
            </w:r>
          </w:p>
        </w:tc>
      </w:tr>
      <w:tr>
        <w:tc>
          <w:tcPr>
            <w:tcW w:type="dxa" w:w="1958"/>
            <w:tcBorders>
              <w:top w:val="single" w:sz="4" w:color="BDC3C7"/>
              <w:bottom w:val="single" w:sz="4" w:color="BDC3C7"/>
              <w:left w:val="single" w:sz="4" w:color="BDC3C7"/>
              <w:right w:val="single" w:sz="4" w:color="BDC3C7"/>
            </w:tcBorders>
          </w:tcPr>
          <w:p>
            <w:r>
              <w:t xml:space="preserve">    ecommerce_contribution</w:t>
            </w:r>
          </w:p>
        </w:tc>
        <w:tc>
          <w:tcPr>
            <w:tcW w:type="dxa" w:w="1958"/>
            <w:tcBorders>
              <w:top w:val="single" w:sz="4" w:color="BDC3C7"/>
              <w:bottom w:val="single" w:sz="4" w:color="BDC3C7"/>
              <w:left w:val="single" w:sz="4" w:color="BDC3C7"/>
              <w:right w:val="single" w:sz="4" w:color="BDC3C7"/>
            </w:tcBorders>
          </w:tcPr>
          <w:p>
            <w:r>
              <w:t>+6.00%</w:t>
            </w:r>
          </w:p>
        </w:tc>
        <w:tc>
          <w:tcPr>
            <w:tcW w:type="dxa" w:w="1958"/>
            <w:tcBorders>
              <w:top w:val="single" w:sz="4" w:color="BDC3C7"/>
              <w:bottom w:val="single" w:sz="4" w:color="BDC3C7"/>
              <w:left w:val="single" w:sz="4" w:color="BDC3C7"/>
              <w:right w:val="single" w:sz="4" w:color="BDC3C7"/>
            </w:tcBorders>
          </w:tcPr>
          <w:p>
            <w:r>
              <w:t>0.40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CEO Foroughi explicitly stated in Q4 2025 call that 'we're not going to see anything that's going to impact our overall numbers for a while' regarding e-commerce. The self-service platform launched Q4 2025 on referral-on  [auto-downgraded: citation text not found in corpus: 'Q4 2025 call: 'we're not going to see anything that's going to impact our overal...']</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revenue_growth.core_gaming_growth: 25.0 → 18.0 — If competitive pressure from Meta and other bidders begins to compress AppLovin's unit economics more than management expects, core gaming growth could decelerate more meaningfully</w:t>
      </w:r>
    </w:p>
    <w:p>
      <w:pPr>
        <w:pStyle w:val="PullQuote"/>
      </w:pPr>
      <w:r>
        <w:t>Counter: the analyst claims E-commerce scaling constraints will limit growth to 6% contribution — but Meta partnership as 'launch partner' suggests major platforms are accelerating adoption, not constraining it - and 84% EBITDA margins indicate AppLovin has pricing power to extract value regardless</w:t>
      </w:r>
    </w:p>
    <w:p>
      <w:pPr>
        <w:pStyle w:val="SectionHeading"/>
      </w:pPr>
      <w:r>
        <w:t>3. Consensus Gap &amp; Valuation</w:t>
      </w:r>
    </w:p>
    <w:p>
      <w:r>
        <w:t>Our EPS: $12.42  =  baseline $15.81  +  Σ claim impacts $-3.40 (21.5% below consensus $15.81)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$15.81</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$8.1B → $7.2B (Δ $-855M)</w:t>
            </w:r>
          </w:p>
        </w:tc>
        <w:tc>
          <w:tcPr>
            <w:tcW w:type="dxa" w:w="2448"/>
            <w:tcBorders>
              <w:top w:val="single" w:sz="4" w:color="BDC3C7"/>
              <w:bottom w:val="single" w:sz="4" w:color="BDC3C7"/>
              <w:left w:val="single" w:sz="4" w:color="BDC3C7"/>
              <w:right w:val="single" w:sz="4" w:color="BDC3C7"/>
            </w:tcBorders>
          </w:tcPr>
          <w:p>
            <w:r>
              <w:t>Revenue Δ $-855M × 50% incremental margin × 87% after-tax</w:t>
            </w:r>
          </w:p>
        </w:tc>
        <w:tc>
          <w:tcPr>
            <w:tcW w:type="dxa" w:w="2448"/>
            <w:tcBorders>
              <w:top w:val="single" w:sz="4" w:color="BDC3C7"/>
              <w:bottom w:val="single" w:sz="4" w:color="BDC3C7"/>
              <w:left w:val="single" w:sz="4" w:color="BDC3C7"/>
              <w:right w:val="single" w:sz="4" w:color="BDC3C7"/>
            </w:tcBorders>
          </w:tcPr>
          <w:p>
            <w:r>
              <w:t>-1.09  ⚠ Claude said -5.25</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$15.81 → $13.50 (Δ $-2.31)</w:t>
            </w:r>
          </w:p>
        </w:tc>
        <w:tc>
          <w:tcPr>
            <w:tcW w:type="dxa" w:w="2448"/>
            <w:tcBorders>
              <w:top w:val="single" w:sz="4" w:color="BDC3C7"/>
              <w:bottom w:val="single" w:sz="4" w:color="BDC3C7"/>
              <w:left w:val="single" w:sz="4" w:color="BDC3C7"/>
              <w:right w:val="single" w:sz="4" w:color="BDC3C7"/>
            </w:tcBorders>
          </w:tcPr>
          <w:p>
            <w:r>
              <w:t>Direct EPS delta: $-2.31/share</w:t>
            </w:r>
          </w:p>
        </w:tc>
        <w:tc>
          <w:tcPr>
            <w:tcW w:type="dxa" w:w="2448"/>
            <w:tcBorders>
              <w:top w:val="single" w:sz="4" w:color="BDC3C7"/>
              <w:bottom w:val="single" w:sz="4" w:color="BDC3C7"/>
              <w:left w:val="single" w:sz="4" w:color="BDC3C7"/>
              <w:right w:val="single" w:sz="4" w:color="BDC3C7"/>
            </w:tcBorders>
          </w:tcPr>
          <w:p>
            <w:r>
              <w:t>-2.31</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-3.40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$12.42</w:t>
            </w:r>
          </w:p>
        </w:tc>
      </w:tr>
    </w:tbl>
    <w:p>
      <w:pPr>
        <w:pStyle w:val="PullQuote"/>
      </w:pPr>
      <w:r>
        <w:t xml:space="preserve">  ⚠ Claim impact mismatch on consensus_fy_revenue: Claude said $-5.25, flow-through computes $-1.09</w:t>
      </w:r>
    </w:p>
    <w:p>
      <w:r>
        <w:t>Our estimate is $3.40 (21.5%) below consensus $15.81. Primary driver: revenue_growth.ecommerce_contribution (ours +6.0 vs street +25.0, contributing $-2.282 to EPS variant, evidence: weak). Variant appears NOT fully priced in based on available market data. Next catalyst: Next quarterly earnings report (2026-05-06 (2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revenue_growth.ecommerce_contribution</w:t>
            </w:r>
          </w:p>
        </w:tc>
        <w:tc>
          <w:tcPr>
            <w:tcW w:type="dxa" w:w="1958"/>
            <w:tcBorders>
              <w:top w:val="single" w:sz="4" w:color="BDC3C7"/>
              <w:bottom w:val="single" w:sz="4" w:color="BDC3C7"/>
              <w:left w:val="single" w:sz="4" w:color="BDC3C7"/>
              <w:right w:val="single" w:sz="4" w:color="BDC3C7"/>
            </w:tcBorders>
          </w:tcPr>
          <w:p>
            <w:r>
              <w:t>+6.00</w:t>
            </w:r>
          </w:p>
        </w:tc>
        <w:tc>
          <w:tcPr>
            <w:tcW w:type="dxa" w:w="1958"/>
            <w:tcBorders>
              <w:top w:val="single" w:sz="4" w:color="BDC3C7"/>
              <w:bottom w:val="single" w:sz="4" w:color="BDC3C7"/>
              <w:left w:val="single" w:sz="4" w:color="BDC3C7"/>
              <w:right w:val="single" w:sz="4" w:color="BDC3C7"/>
            </w:tcBorders>
          </w:tcPr>
          <w:p>
            <w:r>
              <w:t>+25.02</w:t>
            </w:r>
          </w:p>
        </w:tc>
        <w:tc>
          <w:tcPr>
            <w:tcW w:type="dxa" w:w="1958"/>
            <w:tcBorders>
              <w:top w:val="single" w:sz="4" w:color="BDC3C7"/>
              <w:bottom w:val="single" w:sz="4" w:color="BDC3C7"/>
              <w:left w:val="single" w:sz="4" w:color="BDC3C7"/>
              <w:right w:val="single" w:sz="4" w:color="BDC3C7"/>
            </w:tcBorders>
          </w:tcPr>
          <w:p>
            <w:r>
              <w:t>-2.282</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revenue_growth.core_gaming_growth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(-21.5%) exceeds implied move (8.7%)</w:t>
      </w:r>
    </w:p>
    <w:p>
      <w:r>
        <w:t>Edge verdict: POSSIBLE_EDGE (score 0.050).</w:t>
      </w:r>
    </w:p>
    <w:p>
      <w:pPr>
        <w:pStyle w:val="PullQuote"/>
      </w:pPr>
      <w:r>
        <w:t>Counter: the analyst claims Market is debating sustainability of growth rates as company scales beyond gaming — but $2.58B in share buybacks with $3.95B FCF generation suggests this is a mature cash cow optimizing capital allocation, not a risky growth story - consensus may be underestimating the financial engineering upside</w:t>
      </w:r>
    </w:p>
    <w:p>
      <w:pPr>
        <w:pStyle w:val="SectionHeading"/>
      </w:pPr>
      <w:r>
        <w:t>4. Catalysts</w:t>
      </w:r>
    </w:p>
    <w:p>
      <w:pPr>
        <w:pStyle w:val="ListBullet"/>
      </w:pPr>
      <w:r>
        <w:t>Next quarterly earnings report (2026-05-06 (2 days)) — resolves revenue + margins + guidance; confirms or challenges</w:t>
      </w:r>
    </w:p>
    <w:p>
      <w:pPr>
        <w:pStyle w:val="ListBullet"/>
      </w:pPr>
      <w:r>
        <w:t>Resolution: E-commerce will drive significant near-term revenue acceleration (Resolves at earnings (2026-05-06))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e-commerce revenue contribution and growth trajectory (Unknown timing) — resolves multiple; resolves uncertainty</w:t>
      </w:r>
    </w:p>
    <w:p>
      <w:pPr>
        <w:pStyle w:val="ListBullet"/>
      </w:pPr>
      <w:r>
        <w:t>Detailed breakdown of Q1 2026 guidance assumptions by business segment (Unknown timing) — resolves multiple; resolves uncertainty</w:t>
      </w:r>
    </w:p>
    <w:p>
      <w:pPr>
        <w:pStyle w:val="SectionHeading"/>
      </w:pPr>
      <w:r>
        <w:t>5. Risks, Blind Spots &amp; Kill Criteria</w:t>
      </w:r>
    </w:p>
    <w:p>
      <w:pPr>
        <w:pStyle w:val="SubHeading"/>
      </w:pPr>
      <w:r>
        <w:t>Top risks:</w:t>
      </w:r>
    </w:p>
    <w:p>
      <w:pPr>
        <w:pStyle w:val="ListBullet"/>
      </w:pPr>
      <w:r>
        <w:t>E-commerce will drive significant near-term revenue acceleration — counter: Management explicitly stated 'we're not going to see anything that's going to impact our overall numbers for a while' and noted the business 'is really in its infancy' [serious]</w:t>
      </w:r>
    </w:p>
    <w:p>
      <w:pPr>
        <w:pStyle w:val="ListBullet"/>
      </w:pPr>
      <w:r>
        <w:t>Street consensus materially overestimates FY2026 revenue growth trajectory - our analysis suggests ~$7.2B vs consensus $8.1B — counter: Q1 2026 guidance shows $1,745-1,775M revenue with 84% EBITDA margins, suggesting $7.0-7.1B annualized run-rate even before seasonal ramps. Filing shows 70% revenue growth in 2025 to $5.481B with accelerating momentum (source: filing) [serious]</w:t>
      </w:r>
    </w:p>
    <w:p>
      <w:pPr>
        <w:pStyle w:val="ListBullet"/>
      </w:pPr>
      <w:r>
        <w:t>Analyst blind spot — counter: Massive share buyback program: $2.58B repurchased in 2025 alone with only 338M shares outstanding - this creates significant EPS tailwind independent of operational performance [moderate]</w:t>
      </w:r>
    </w:p>
    <w:p>
      <w:pPr>
        <w:pStyle w:val="SubHeading"/>
      </w:pPr>
      <w:r>
        <w:t>Blind spots (auditor-independent):</w:t>
      </w:r>
    </w:p>
    <w:p>
      <w:pPr>
        <w:pStyle w:val="ListBullet"/>
      </w:pPr>
      <w:r>
        <w:t>Massive share buyback program: $2.58B repurchased in 2025 alone with only 338M shares outstanding - this creates significant EPS tailwind independent of operational performance</w:t>
      </w:r>
    </w:p>
    <w:p>
      <w:pPr>
        <w:pStyle w:val="ListBullet"/>
      </w:pPr>
      <w:r>
        <w:t>84% EBITDA margins in Q1 2026 guidance suggest pricing power and operational leverage that contradicts the scaling constraint thesis</w:t>
      </w:r>
    </w:p>
    <w:p>
      <w:pPr>
        <w:pStyle w:val="ListBullet"/>
      </w:pPr>
      <w:r>
        <w:t>Leadership succession planning indicates company is in consolidation/optimization mode rather than risky expansion phase</w:t>
      </w:r>
    </w:p>
    <w:p>
      <w:pPr>
        <w:pStyle w:val="KillCriteria"/>
      </w:pPr>
      <w:r>
        <w:t>What would change our mind: Print on revenue_growth.ecommerce_contribution comes in above our +6.0 figure (toward street +25.0) in the next 1-2 prints.</w:t>
      </w:r>
    </w:p>
    <w:p>
      <w:pPr>
        <w:pStyle w:val="SectionHeading"/>
      </w:pPr>
      <w:r>
        <w:t>Appendix</w:t>
      </w:r>
    </w:p>
    <w:p>
      <w:pPr>
        <w:pStyle w:val="SubHeading"/>
      </w:pPr>
      <w:r>
        <w:t>Business context:</w:t>
      </w:r>
    </w:p>
    <w:p>
      <w:r>
        <w:t>AppLovin operates a leading mobile advertising platform that connects advertisers with consumers through mobile games and apps. The company generates revenue primarily through its advertising technology platform, which includes both demand-side (advertiser-facing) and supply-side (publisher-facing) solutions, with particularly strong positioning in mobile gaming advertising.</w:t>
      </w:r>
    </w:p>
    <w:p>
      <w:pPr>
        <w:pStyle w:val="SubHeading"/>
      </w:pPr>
      <w:r>
        <w:t>Evidence gaps (research TODO):</w:t>
      </w:r>
    </w:p>
    <w:p>
      <w:pPr>
        <w:pStyle w:val="ListBullet"/>
      </w:pPr>
      <w:r>
        <w:t>Specific e-commerce revenue contribution and growth trajectory</w:t>
      </w:r>
    </w:p>
    <w:p>
      <w:pPr>
        <w:pStyle w:val="ListBullet"/>
      </w:pPr>
      <w:r>
        <w:t>Detailed breakdown of Q1 2026 guidance assumptions by business segment</w:t>
      </w:r>
    </w:p>
    <w:p>
      <w:pPr>
        <w:pStyle w:val="ListBullet"/>
      </w:pPr>
      <w:r>
        <w:t>Competitive impact quantification from increased Meta bidding activity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