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APP — APP</w:t>
      </w:r>
    </w:p>
    <w:p>
      <w:pPr>
        <w:pStyle w:val="SmallMeta"/>
      </w:pPr>
      <w:r>
        <w:t>As of 2026-05-05  |  Schema: general  |  Data: polygon+alpha_vantage (FY2025)</w:t>
      </w:r>
    </w:p>
    <w:p>
      <w:pPr>
        <w:pStyle w:val="SubHeading"/>
      </w:pPr>
      <w:r>
        <w:rPr>
          <w:color w:val="8C1D40"/>
        </w:rPr>
        <w:t>Direction: SHORT | Current: $478.11</w:t>
      </w:r>
    </w:p>
    <w:p>
      <w:pPr>
        <w:pStyle w:val="SubHeading"/>
      </w:pPr>
      <w:r>
        <w:t>Summary</w:t>
      </w:r>
    </w:p>
    <w:p>
      <w:pPr>
        <w:pStyle w:val="ListBullet"/>
      </w:pPr>
      <w:r>
        <w:t>Thesis: Consensus FY2026 revenue of $8.05B appears overly optimistic based on Q1 2026 guidance mechanics and sequential pattern analysis, suggesting 10-15% downside to street estimates.</w:t>
      </w:r>
    </w:p>
    <w:p>
      <w:pPr>
        <w:pStyle w:val="ListBullet"/>
      </w:pPr>
      <w:r>
        <w:t>Next catalyst: Next quarterly earnings report (2026-05-06 (1 days))</w:t>
      </w:r>
    </w:p>
    <w:p>
      <w:pPr>
        <w:pStyle w:val="ListBullet"/>
      </w:pPr>
      <w:r>
        <w:t>Top risk: E-commerce expansion will drive sustained 40%+ revenue growth</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1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$3.46</w:t>
            </w:r>
          </w:p>
        </w:tc>
        <w:tc>
          <w:tcPr>
            <w:tcW w:type="dxa" w:w="1399"/>
            <w:tcBorders>
              <w:top w:val="single" w:sz="4" w:color="BDC3C7"/>
              <w:bottom w:val="single" w:sz="4" w:color="BDC3C7"/>
              <w:left w:val="single" w:sz="4" w:color="BDC3C7"/>
              <w:right w:val="single" w:sz="4" w:color="BDC3C7"/>
            </w:tcBorders>
          </w:tcPr>
          <w:p>
            <w:r>
              <w:t>$3.15 – $3.76</w:t>
            </w:r>
          </w:p>
        </w:tc>
        <w:tc>
          <w:tcPr>
            <w:tcW w:type="dxa" w:w="1399"/>
            <w:tcBorders>
              <w:top w:val="single" w:sz="4" w:color="BDC3C7"/>
              <w:bottom w:val="single" w:sz="4" w:color="BDC3C7"/>
              <w:left w:val="single" w:sz="4" w:color="BDC3C7"/>
              <w:right w:val="single" w:sz="4" w:color="BDC3C7"/>
            </w:tcBorders>
          </w:tcPr>
          <w:p>
            <w:r>
              <w:t>17</w:t>
            </w:r>
          </w:p>
        </w:tc>
        <w:tc>
          <w:tcPr>
            <w:tcW w:type="dxa" w:w="1399"/>
            <w:tcBorders>
              <w:top w:val="single" w:sz="4" w:color="BDC3C7"/>
              <w:bottom w:val="single" w:sz="4" w:color="BDC3C7"/>
              <w:left w:val="single" w:sz="4" w:color="BDC3C7"/>
              <w:right w:val="single" w:sz="4" w:color="BDC3C7"/>
            </w:tcBorders>
          </w:tcPr>
          <w:p>
            <w:r>
              <w:t>+107.0%</w:t>
            </w:r>
          </w:p>
        </w:tc>
        <w:tc>
          <w:tcPr>
            <w:tcW w:type="dxa" w:w="1399"/>
            <w:tcBorders>
              <w:top w:val="single" w:sz="4" w:color="BDC3C7"/>
              <w:bottom w:val="single" w:sz="4" w:color="BDC3C7"/>
              <w:left w:val="single" w:sz="4" w:color="BDC3C7"/>
              <w:right w:val="single" w:sz="4" w:color="BDC3C7"/>
            </w:tcBorders>
          </w:tcPr>
          <w:p>
            <w:r>
              <w:t>↑ +0.010</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$3.70</w:t>
            </w:r>
          </w:p>
        </w:tc>
        <w:tc>
          <w:tcPr>
            <w:tcW w:type="dxa" w:w="1399"/>
            <w:tcBorders>
              <w:top w:val="single" w:sz="4" w:color="BDC3C7"/>
              <w:bottom w:val="single" w:sz="4" w:color="BDC3C7"/>
              <w:left w:val="single" w:sz="4" w:color="BDC3C7"/>
              <w:right w:val="single" w:sz="4" w:color="BDC3C7"/>
            </w:tcBorders>
          </w:tcPr>
          <w:p>
            <w:r>
              <w:t>$3.35 – $4.05</w:t>
            </w:r>
          </w:p>
        </w:tc>
        <w:tc>
          <w:tcPr>
            <w:tcW w:type="dxa" w:w="1399"/>
            <w:tcBorders>
              <w:top w:val="single" w:sz="4" w:color="BDC3C7"/>
              <w:bottom w:val="single" w:sz="4" w:color="BDC3C7"/>
              <w:left w:val="single" w:sz="4" w:color="BDC3C7"/>
              <w:right w:val="single" w:sz="4" w:color="BDC3C7"/>
            </w:tcBorders>
          </w:tcPr>
          <w:p>
            <w:r>
              <w:t>17</w:t>
            </w:r>
          </w:p>
        </w:tc>
        <w:tc>
          <w:tcPr>
            <w:tcW w:type="dxa" w:w="1399"/>
            <w:tcBorders>
              <w:top w:val="single" w:sz="4" w:color="BDC3C7"/>
              <w:bottom w:val="single" w:sz="4" w:color="BDC3C7"/>
              <w:left w:val="single" w:sz="4" w:color="BDC3C7"/>
              <w:right w:val="single" w:sz="4" w:color="BDC3C7"/>
            </w:tcBorders>
          </w:tcPr>
          <w:p>
            <w:r>
              <w:t>+54.8%</w:t>
            </w:r>
          </w:p>
        </w:tc>
        <w:tc>
          <w:tcPr>
            <w:tcW w:type="dxa" w:w="1399"/>
            <w:tcBorders>
              <w:top w:val="single" w:sz="4" w:color="BDC3C7"/>
              <w:bottom w:val="single" w:sz="4" w:color="BDC3C7"/>
              <w:left w:val="single" w:sz="4" w:color="BDC3C7"/>
              <w:right w:val="single" w:sz="4" w:color="BDC3C7"/>
            </w:tcBorders>
          </w:tcPr>
          <w:p>
            <w:r>
              <w:t>↑ +0.031</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$15.82</w:t>
            </w:r>
          </w:p>
        </w:tc>
        <w:tc>
          <w:tcPr>
            <w:tcW w:type="dxa" w:w="1399"/>
            <w:tcBorders>
              <w:top w:val="single" w:sz="4" w:color="BDC3C7"/>
              <w:bottom w:val="single" w:sz="4" w:color="BDC3C7"/>
              <w:left w:val="single" w:sz="4" w:color="BDC3C7"/>
              <w:right w:val="single" w:sz="4" w:color="BDC3C7"/>
            </w:tcBorders>
          </w:tcPr>
          <w:p>
            <w:r>
              <w:t>$14.32 – $17.62</w:t>
            </w:r>
          </w:p>
        </w:tc>
        <w:tc>
          <w:tcPr>
            <w:tcW w:type="dxa" w:w="1399"/>
            <w:tcBorders>
              <w:top w:val="single" w:sz="4" w:color="BDC3C7"/>
              <w:bottom w:val="single" w:sz="4" w:color="BDC3C7"/>
              <w:left w:val="single" w:sz="4" w:color="BDC3C7"/>
              <w:right w:val="single" w:sz="4" w:color="BDC3C7"/>
            </w:tcBorders>
          </w:tcPr>
          <w:p>
            <w:r>
              <w:t>23</w:t>
            </w:r>
          </w:p>
        </w:tc>
        <w:tc>
          <w:tcPr>
            <w:tcW w:type="dxa" w:w="1399"/>
            <w:tcBorders>
              <w:top w:val="single" w:sz="4" w:color="BDC3C7"/>
              <w:bottom w:val="single" w:sz="4" w:color="BDC3C7"/>
              <w:left w:val="single" w:sz="4" w:color="BDC3C7"/>
              <w:right w:val="single" w:sz="4" w:color="BDC3C7"/>
            </w:tcBorders>
          </w:tcPr>
          <w:p>
            <w:r>
              <w:t>+62.3%</w:t>
            </w:r>
          </w:p>
        </w:tc>
        <w:tc>
          <w:tcPr>
            <w:tcW w:type="dxa" w:w="1399"/>
            <w:tcBorders>
              <w:top w:val="single" w:sz="4" w:color="BDC3C7"/>
              <w:bottom w:val="single" w:sz="4" w:color="BDC3C7"/>
              <w:left w:val="single" w:sz="4" w:color="BDC3C7"/>
              <w:right w:val="single" w:sz="4" w:color="BDC3C7"/>
            </w:tcBorders>
          </w:tcPr>
          <w:p>
            <w:r>
              <w:t>↑ +0.084</w:t>
            </w:r>
          </w:p>
        </w:tc>
        <w:tc>
          <w:tcPr>
            <w:tcW w:type="dxa" w:w="1399"/>
            <w:tcBorders>
              <w:top w:val="single" w:sz="4" w:color="BDC3C7"/>
              <w:bottom w:val="single" w:sz="4" w:color="BDC3C7"/>
              <w:left w:val="single" w:sz="4" w:color="BDC3C7"/>
              <w:right w:val="single" w:sz="4" w:color="BDC3C7"/>
            </w:tcBorders>
          </w:tcPr>
          <w:p>
            <w:r>
              <w:t>↑5 / ↓0</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$20.67</w:t>
            </w:r>
          </w:p>
        </w:tc>
        <w:tc>
          <w:tcPr>
            <w:tcW w:type="dxa" w:w="1399"/>
            <w:tcBorders>
              <w:top w:val="single" w:sz="4" w:color="BDC3C7"/>
              <w:bottom w:val="single" w:sz="4" w:color="BDC3C7"/>
              <w:left w:val="single" w:sz="4" w:color="BDC3C7"/>
              <w:right w:val="single" w:sz="4" w:color="BDC3C7"/>
            </w:tcBorders>
          </w:tcPr>
          <w:p>
            <w:r>
              <w:t>$15.72 – $23.35</w:t>
            </w:r>
          </w:p>
        </w:tc>
        <w:tc>
          <w:tcPr>
            <w:tcW w:type="dxa" w:w="1399"/>
            <w:tcBorders>
              <w:top w:val="single" w:sz="4" w:color="BDC3C7"/>
              <w:bottom w:val="single" w:sz="4" w:color="BDC3C7"/>
              <w:left w:val="single" w:sz="4" w:color="BDC3C7"/>
              <w:right w:val="single" w:sz="4" w:color="BDC3C7"/>
            </w:tcBorders>
          </w:tcPr>
          <w:p>
            <w:r>
              <w:t>24</w:t>
            </w:r>
          </w:p>
        </w:tc>
        <w:tc>
          <w:tcPr>
            <w:tcW w:type="dxa" w:w="1399"/>
            <w:tcBorders>
              <w:top w:val="single" w:sz="4" w:color="BDC3C7"/>
              <w:bottom w:val="single" w:sz="4" w:color="BDC3C7"/>
              <w:left w:val="single" w:sz="4" w:color="BDC3C7"/>
              <w:right w:val="single" w:sz="4" w:color="BDC3C7"/>
            </w:tcBorders>
          </w:tcPr>
          <w:p>
            <w:r>
              <w:t>+30.7%</w:t>
            </w:r>
          </w:p>
        </w:tc>
        <w:tc>
          <w:tcPr>
            <w:tcW w:type="dxa" w:w="1399"/>
            <w:tcBorders>
              <w:top w:val="single" w:sz="4" w:color="BDC3C7"/>
              <w:bottom w:val="single" w:sz="4" w:color="BDC3C7"/>
              <w:left w:val="single" w:sz="4" w:color="BDC3C7"/>
              <w:right w:val="single" w:sz="4" w:color="BDC3C7"/>
            </w:tcBorders>
          </w:tcPr>
          <w:p>
            <w:r>
              <w:t>↑ +0.234</w:t>
            </w:r>
          </w:p>
        </w:tc>
        <w:tc>
          <w:tcPr>
            <w:tcW w:type="dxa" w:w="1399"/>
            <w:tcBorders>
              <w:top w:val="single" w:sz="4" w:color="BDC3C7"/>
              <w:bottom w:val="single" w:sz="4" w:color="BDC3C7"/>
              <w:left w:val="single" w:sz="4" w:color="BDC3C7"/>
              <w:right w:val="single" w:sz="4" w:color="BDC3C7"/>
            </w:tcBorders>
          </w:tcPr>
          <w:p>
            <w:r>
              <w:t>↑4 / ↓0</w:t>
            </w:r>
          </w:p>
        </w:tc>
      </w:tr>
    </w:tbl>
    <w:p>
      <w:r>
        <w:t>Revenue consensus: Q $1.78B (+19.6%)  |  Q+1 $1.90B (+50.8%)  |  FY $8.05B (+46.9%)  |  FY+1 $10.42B (+29.5%)</w:t>
      </w:r>
    </w:p>
    <w:p>
      <w:r>
        <w:t>Price targets: Mean $638.50  |  Median $647.00  |  Range $340.00–$860.00  |  Current $478.11 (+33.5% to mean)</w:t>
      </w:r>
    </w:p>
    <w:p>
      <w:r>
        <w:t>Analyst ratings (n=30): Strong Buy 6 · Buy 20 · Hold 4 · Sell 0 · Strong Sell 0  ·  87% bullish</w:t>
      </w:r>
    </w:p>
    <w:p>
      <w:r>
        <w:t>Next earnings: 2026-05-06 (1d out)  ·  EPS $3.64 ($3.53–$3.74)  ·  Rev $1.78B</w:t>
      </w:r>
    </w:p>
    <w:p>
      <w:pPr>
        <w:pStyle w:val="SectionHeading"/>
      </w:pPr>
      <w:r>
        <w:t>1. Research Synthesis</w:t>
      </w:r>
    </w:p>
    <w:p>
      <w:r>
        <w:t>AppLovin's Q4 2025 results showcase the company's exceptional operating leverage, with revenue reaching $1.66B while adjusted EBITDA expanded 82% to $1.4B, representing an 84% margin. However, a careful analysis of the Q1 2026 guidance reveals potential cracks in the consensus growth narrative that warrant closer examination.</w:t>
      </w:r>
    </w:p>
    <w:p>
      <w:pPr>
        <w:pStyle w:val="ListBullet"/>
      </w:pPr>
      <w:r>
        <w:rPr>
          <w:i/>
        </w:rPr>
        <w:t>→ Research confirms: AppLovin's Q4 2025 revenue of $1.66B and adjusted EBITDA of $1.4B (82% growth, 84% margin) are directly confirmed by official SEC filings and earnings reports. (q4cdn.com)</w:t>
      </w:r>
    </w:p>
    <w:p>
      <w:r>
        <w:t>The most significant analytical tension emerges from reconciling Q1 2026 guidance against full-year consensus expectations. Management guided Q1 2026 revenue to $1,745-1,775M (midpoint $1,760M), which represents a 6.2% sequential increase from Q4 2025's $1,658M. To assess whether this sequential pattern is normal or concerning, we need the prior-year comparison: Q1 2025 actual was $1,484M versus Q4 2024's $953M, representing a +55.7% sequential increase. This creates a notable year-over-year delta in seasonal patterns - from a strong Q1 seasonal lift in 2025 to a more modest Q1 increase in 2026, a deceleration of approximately 49 percentage points in sequential trajectory.</w:t>
      </w:r>
    </w:p>
    <w:p>
      <w:pPr>
        <w:pStyle w:val="PullQuote"/>
      </w:pPr>
      <w:r>
        <w:t>Counter: the analyst claims Q1 2026 guidance mechanics suggest consensus is too optimistic — but The analyst appears to have misinterpreted seasonal patterns. Q1 2026 guidance of $1,760M (midpoint) vs Q4 2025 actual of $1,658M represents 6.2% sequential growth, but Q1 2025 declined 15.2% sequentially from Q4 2024. If anything, the Q1 2026 guidance suggests acceleration, not deceleration.</w:t>
      </w:r>
    </w:p>
    <w:p>
      <w:pPr>
        <w:pStyle w:val="ListBullet"/>
      </w:pPr>
      <w:r>
        <w:rPr>
          <w:i/>
        </w:rPr>
        <w:t>→ Research [UPDATES]: AppLovin guided Q1 2026 revenue to $1.745–$1.775B (5–7% sequential growth), not 6.2% as claimed. Q4 2025 revenue was $1.66B, making the midpoint guidance ($1.76B) represent approximately 6.0% sequential growth, not 6.2%. (fool.com)</w:t>
      </w:r>
    </w:p>
    <w:p>
      <w:pPr>
        <w:pStyle w:val="ListBullet"/>
      </w:pPr>
      <w:r>
        <w:rPr>
          <w:i/>
        </w:rPr>
        <w:t>→ Research [CONTRADICTS]: Q1 2025 revenue was $1,484M (confirmed), but Q4 2024 was $1,370M, not $953M. Sequential increase was 8.3%, not 55.7%. The $953M figure appears to reference Q4 2024 advertising revenue only, not total revenue. (applovin.com)</w:t>
      </w:r>
    </w:p>
    <w:p>
      <w:r>
        <w:t>This sequential deceleration becomes more problematic when extrapolated to full-year implications. If Q1 represents roughly 22-25% of annual revenue for advertising-driven businesses (based on typical seasonal patterns), the $1,760M Q1 guide implies full-year revenue of approximately $7.0-7.2B. This sits materially below consensus expectations of $8.05B, suggesting either: (1) management is being extremely conservative in Q1 guidance, (2) the business will see unprecedented acceleration in Q2-Q4, or (3) consensus full-year estimates haven't properly incorporated the Q1 guide mechanics.</w:t>
      </w:r>
    </w:p>
    <w:p>
      <w:r>
        <w:t>Management's commentary provides mixed signals on growth sustainability. In the Q4 2025 call, CEO Adam Foroughi emphasized that 'every impression is not worth the same thing' and highlighted the platform's ability to value impressions dynamically. However, when pressed on e-commerce growth specifics, management notably refused to break out e-commerce contribution, with Foroughi stating 'we're not going to do that because we think of our platform as a unified platform.' This opacity makes it difficult to assess whether the e-commerce expansion - a key growth driver in consensus models - is tracking to expectations.</w:t>
      </w:r>
    </w:p>
    <w:p>
      <w:pPr>
        <w:pStyle w:val="PullQuote"/>
      </w:pPr>
      <w:r>
        <w:t>Counter: the analyst claims Platform growth mechanics support the bearish revenue view — but The analyst's 28.9% platform growth assumption is disconnected from current reality. With 66-70% YoY growth rates in recent quarters and strong margin expansion (EBITDA margins at 84% in guidance), the platform appears to be in a different growth phase than modeled.</w:t>
      </w:r>
    </w:p>
    <w:p>
      <w:r>
        <w:t>The company's margin profile remains extraordinary, with Q4 2025 gross margins of 88.9% and operating margins of 76.9%. The structured financials show cost of revenue at just 12.1% of revenue ($665.1M on $5.48B revenue), reflecting the asset-light nature of the platform business. However, this margin structure also means that any revenue shortfall drops almost entirely to the bottom line, amplifying the EPS impact of top-line misses.</w:t>
      </w:r>
    </w:p>
    <w:p>
      <w:r>
        <w:t>Recent insider activity adds another layer of complexity to the investment thesis. Director Eduardo Vivas sold $9.5M in shares on March 13, 2026, followed by additional sales of 163,910 shares on March 16 under a Rule 10b5-1 plan. CEO Adam Foroughi also sold 40,704 shares on March 12. While these transactions occurred under pre-arranged plans, the timing coincides with the stock's significant decline from recent highs, potentially signaling management's view that shares were overvalued at prior levels.</w:t>
      </w:r>
    </w:p>
    <w:p>
      <w:pPr>
        <w:pStyle w:val="ListBullet"/>
      </w:pPr>
      <w:r>
        <w:rPr>
          <w:i/>
        </w:rPr>
        <w:t>→ Research [UPDATES]: SEC filings confirm March 13 sale of ~$9.5M and March 16 sale of 163,910 shares under Rule 10b5-1 plan. March 13 transaction was a contribution to an ETF (20,910 shares), not an open-market sale as brief implies. (stocktitan.net)</w:t>
      </w:r>
    </w:p>
    <w:p>
      <w:pPr>
        <w:pStyle w:val="ListBullet"/>
      </w:pPr>
      <w:r>
        <w:rPr>
          <w:i/>
        </w:rPr>
        <w:t>→ Research confirms: SEC Form 4 filings confirm CEO Adam Foroughi sold exactly 40,704 shares on March 12, 2026, in open-market transactions at weighted average prices between $453.80–$468.33 per share. (stocktitan.net)</w:t>
      </w:r>
    </w:p>
    <w:p>
      <w:pPr>
        <w:pStyle w:val="ListBullet"/>
      </w:pPr>
      <w:r>
        <w:rPr>
          <w:i/>
        </w:rPr>
        <w:t>→ Research: Recent 13F filings show significant institutional position changes: Fifth Third Bancorp raised its position by 312% in Q4, Vanguard increased holdings by 50.17% (from 16.6M to 25.0M shares), and GAMMA Investing grew by 122.4%. Institutional ownership stands at 77.97% of shares. These large accumulations by major funds provide technical support thesis-relevant data. (dailypolitical.com)</w:t>
      </w:r>
    </w:p>
    <w:p>
      <w:r>
        <w:t>The bear case research from Fuzzy Panda and Culper Research raises specific operational concerns that merit consideration. Fuzzy Panda alleges three mechanisms: (1) 'Direct Downloads without consent' as a primary revenue driver, (2) inappropriate ad serving to minors, and (3) e-commerce performance built on copying Meta's data. While these allegations remain unproven, the third point is most thesis-relevant - if AppLovin's e-commerce success depends on data arbitrage that Meta could close, the sustainability of e-commerce CPMs becomes questionable. Management addressed data attribution concerns in Q4, but the underlying vulnerability to platform policy changes remains.</w:t>
      </w:r>
    </w:p>
    <w:p>
      <w:pPr>
        <w:pStyle w:val="ListBullet"/>
      </w:pPr>
      <w:r>
        <w:rPr>
          <w:i/>
        </w:rPr>
        <w:t>→ Research: Short seller allegations (Fuzzy Panda, Culper Research) triggered immediate regulatory scrutiny: SEC launched active investigation in October 2025 into data practices; stock dropped 12-13% on initial reports (Feb 2026); multiple class-action lawsuits filed. Regulatory risk is material and ongoing. (cnbc.com)</w:t>
      </w:r>
    </w:p>
    <w:p>
      <w:pPr>
        <w:pStyle w:val="ListBullet"/>
      </w:pPr>
      <w:r>
        <w:rPr>
          <w:i/>
        </w:rPr>
        <w:t>→ Research: Meta implemented data-sharing restrictions starting January 2025 for sensitive categories (health, wellness, finance), limiting lower-funnel conversion tracking and optimization. AppLovin faces SEC investigation for alleged unauthorized collection of platform identifiers from Meta and others, creating material platform dependency risk for e-commerce advertisers relying on both platforms. (auditsocials.com)</w:t>
      </w:r>
    </w:p>
    <w:p>
      <w:r>
        <w:t>Capital allocation behavior provides some confidence signals. The company repurchased $2.58B of stock in 2025 (funded entirely by free cash flow of $3.95B), reducing share count from 346M to 338M. With shares now trading significantly below recent highs, these buybacks appear well-timed and signal management confidence in intrinsic value. The remaining $3.28B authorization provides substantial flexibility for opportunistic repurchases.</w:t>
      </w:r>
    </w:p>
    <w:p>
      <w:pPr>
        <w:pStyle w:val="ListBullet"/>
      </w:pPr>
      <w:r>
        <w:rPr>
          <w:i/>
        </w:rPr>
        <w:t>→ Research [UPDATES]: SEC filings confirm $2.58B repurchases and $3.95B free cash flow in 2025, but share count reduction was 346M to 340M (not 346M to 338M as stated). The brief understates the actual share count reduction by 2M shares. (applovin.com)</w:t>
      </w:r>
    </w:p>
    <w:p>
      <w:r>
        <w:t>Looking at the guidance beat history, AppLovin has consistently exceeded quarterly guidance, though the magnitude of beats has varied. In Q3 2025, revenue of $1,405M came in above the guided range, and Q2 2025 similarly beat expectations. However, the company's guidance philosophy appears to have evolved, with CFO commentary becoming more measured about providing specific upside scenarios.</w:t>
      </w:r>
    </w:p>
    <w:p>
      <w:r>
        <w:t>The synthesis of these factors suggests consensus FY2026 estimates may be vulnerable to downward revision. The Q1 2026 guide mechanics, when properly reconciled against seasonal patterns and full-year implications, point to potential revenue shortfall of 10-15% versus street expectations. Combined with management's increased opacity around e-commerce metrics and the challenging year-over-year sequential comparisons, the risk-reward appears tilted toward disappointment rather than upside surprise.</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$3.46</w:t>
            </w:r>
          </w:p>
        </w:tc>
        <w:tc>
          <w:tcPr>
            <w:tcW w:type="dxa" w:w="3264"/>
            <w:tcBorders>
              <w:top w:val="single" w:sz="4" w:color="BDC3C7"/>
              <w:bottom w:val="single" w:sz="4" w:color="BDC3C7"/>
              <w:left w:val="single" w:sz="4" w:color="BDC3C7"/>
              <w:right w:val="single" w:sz="4" w:color="BDC3C7"/>
            </w:tcBorders>
          </w:tcPr>
          <w:p>
            <w:r>
              <w:t>$1,775M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$3.70</w:t>
            </w:r>
          </w:p>
        </w:tc>
        <w:tc>
          <w:tcPr>
            <w:tcW w:type="dxa" w:w="3264"/>
            <w:tcBorders>
              <w:top w:val="single" w:sz="4" w:color="BDC3C7"/>
              <w:bottom w:val="single" w:sz="4" w:color="BDC3C7"/>
              <w:left w:val="single" w:sz="4" w:color="BDC3C7"/>
              <w:right w:val="single" w:sz="4" w:color="BDC3C7"/>
            </w:tcBorders>
          </w:tcPr>
          <w:p>
            <w:r>
              <w:t>$1,898M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$15.82</w:t>
            </w:r>
          </w:p>
        </w:tc>
        <w:tc>
          <w:tcPr>
            <w:tcW w:type="dxa" w:w="3264"/>
            <w:tcBorders>
              <w:top w:val="single" w:sz="4" w:color="BDC3C7"/>
              <w:bottom w:val="single" w:sz="4" w:color="BDC3C7"/>
              <w:left w:val="single" w:sz="4" w:color="BDC3C7"/>
              <w:right w:val="single" w:sz="4" w:color="BDC3C7"/>
            </w:tcBorders>
          </w:tcPr>
          <w:p>
            <w:r>
              <w:t>$8,049M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$20.67</w:t>
            </w:r>
          </w:p>
        </w:tc>
        <w:tc>
          <w:tcPr>
            <w:tcW w:type="dxa" w:w="3264"/>
            <w:tcBorders>
              <w:top w:val="single" w:sz="4" w:color="BDC3C7"/>
              <w:bottom w:val="single" w:sz="4" w:color="BDC3C7"/>
              <w:left w:val="single" w:sz="4" w:color="BDC3C7"/>
              <w:right w:val="single" w:sz="4" w:color="BDC3C7"/>
            </w:tcBorders>
          </w:tcPr>
          <w:p>
            <w:r>
              <w:t>$10,420M</w:t>
            </w:r>
          </w:p>
        </w:tc>
      </w:tr>
    </w:tbl>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$8.0B</w:t>
            </w:r>
          </w:p>
        </w:tc>
        <w:tc>
          <w:tcPr>
            <w:tcW w:type="dxa" w:w="1632"/>
            <w:tcBorders>
              <w:top w:val="single" w:sz="4" w:color="BDC3C7"/>
              <w:bottom w:val="single" w:sz="4" w:color="BDC3C7"/>
              <w:left w:val="single" w:sz="4" w:color="BDC3C7"/>
              <w:right w:val="single" w:sz="4" w:color="BDC3C7"/>
            </w:tcBorders>
          </w:tcPr>
          <w:p>
            <w:r>
              <w:t>$7.2B</w:t>
            </w:r>
          </w:p>
        </w:tc>
        <w:tc>
          <w:tcPr>
            <w:tcW w:type="dxa" w:w="1632"/>
            <w:tcBorders>
              <w:top w:val="single" w:sz="4" w:color="BDC3C7"/>
              <w:bottom w:val="single" w:sz="4" w:color="BDC3C7"/>
              <w:left w:val="single" w:sz="4" w:color="BDC3C7"/>
              <w:right w:val="single" w:sz="4" w:color="BDC3C7"/>
            </w:tcBorders>
          </w:tcPr>
          <w:p>
            <w:r>
              <w:t>-2.50</w:t>
            </w:r>
          </w:p>
        </w:tc>
        <w:tc>
          <w:tcPr>
            <w:tcW w:type="dxa" w:w="1632"/>
            <w:tcBorders>
              <w:top w:val="single" w:sz="4" w:color="BDC3C7"/>
              <w:bottom w:val="single" w:sz="4" w:color="BDC3C7"/>
              <w:left w:val="single" w:sz="4" w:color="BDC3C7"/>
              <w:right w:val="single" w:sz="4" w:color="BDC3C7"/>
            </w:tcBorders>
          </w:tcPr>
          <w:p>
            <w:r>
              <w:t>non_public_inference</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Q Rev</w:t>
            </w:r>
          </w:p>
        </w:tc>
        <w:tc>
          <w:tcPr>
            <w:tcW w:type="dxa" w:w="1632"/>
            <w:tcBorders>
              <w:top w:val="single" w:sz="4" w:color="BDC3C7"/>
              <w:bottom w:val="single" w:sz="4" w:color="BDC3C7"/>
              <w:left w:val="single" w:sz="4" w:color="BDC3C7"/>
              <w:right w:val="single" w:sz="4" w:color="BDC3C7"/>
            </w:tcBorders>
          </w:tcPr>
          <w:p>
            <w:r>
              <w:t>$1.8B</w:t>
            </w:r>
          </w:p>
        </w:tc>
        <w:tc>
          <w:tcPr>
            <w:tcW w:type="dxa" w:w="1632"/>
            <w:tcBorders>
              <w:top w:val="single" w:sz="4" w:color="BDC3C7"/>
              <w:bottom w:val="single" w:sz="4" w:color="BDC3C7"/>
              <w:left w:val="single" w:sz="4" w:color="BDC3C7"/>
              <w:right w:val="single" w:sz="4" w:color="BDC3C7"/>
            </w:tcBorders>
          </w:tcPr>
          <w:p>
            <w:r>
              <w:t>$1.8B</w:t>
            </w:r>
          </w:p>
        </w:tc>
        <w:tc>
          <w:tcPr>
            <w:tcW w:type="dxa" w:w="1632"/>
            <w:tcBorders>
              <w:top w:val="single" w:sz="4" w:color="BDC3C7"/>
              <w:bottom w:val="single" w:sz="4" w:color="BDC3C7"/>
              <w:left w:val="single" w:sz="4" w:color="BDC3C7"/>
              <w:right w:val="single" w:sz="4" w:color="BDC3C7"/>
            </w:tcBorders>
          </w:tcPr>
          <w:p>
            <w:r>
              <w:t>-0.05</w:t>
            </w:r>
          </w:p>
        </w:tc>
        <w:tc>
          <w:tcPr>
            <w:tcW w:type="dxa" w:w="1632"/>
            <w:tcBorders>
              <w:top w:val="single" w:sz="4" w:color="BDC3C7"/>
              <w:bottom w:val="single" w:sz="4" w:color="BDC3C7"/>
              <w:left w:val="single" w:sz="4" w:color="BDC3C7"/>
              <w:right w:val="single" w:sz="4" w:color="BDC3C7"/>
            </w:tcBorders>
          </w:tcPr>
          <w:p>
            <w:r>
              <w:t>interpretation</w:t>
            </w:r>
          </w:p>
        </w:tc>
      </w:tr>
    </w:tbl>
    <w:p>
      <w:pPr>
        <w:pStyle w:val="SubHeading"/>
      </w:pPr>
      <w:r>
        <w:t>Claim 1 — consensus_fy_revenue</w:t>
      </w:r>
    </w:p>
    <w:p>
      <w:r>
        <w:t>Q1 2026 guidance midpoint of $1,760M implies full-year revenue of ~$7.0-7.2B based on typical seasonal patterns (Q1 = 22-25% of annual revenue for ad-driven businesses), well below consensus $8.05B.</w:t>
      </w:r>
    </w:p>
    <w:p>
      <w:r>
        <w:t>Street anchor: $8.0B (yfinance consensus FY2026) → Our view: $7.2B</w:t>
      </w:r>
    </w:p>
    <w:p>
      <w:pPr>
        <w:pStyle w:val="PullQuote"/>
      </w:pPr>
      <w:r>
        <w:t>“Revenue $1,745 $1,775”  (press_release)</w:t>
      </w:r>
    </w:p>
    <w:p>
      <w:pPr>
        <w:pStyle w:val="PullQuote"/>
      </w:pPr>
      <w:r>
        <w:t>“Revenue in the fourth quarter was $1.66 billion, up 66% year over year”  (transcript)</w:t>
      </w:r>
    </w:p>
    <w:p>
      <w:r>
        <w:t>Why not consensus: Single-quarter analysts model FY top-down from headline growth rates; they typically don't build up from quarterly guidance mechanics and seasonal pattern reconciliation.</w:t>
      </w:r>
    </w:p>
    <w:p>
      <w:pPr>
        <w:pStyle w:val="KillCriteria"/>
      </w:pPr>
      <w:r>
        <w:t>Falsifier: If Q1 2026 revenue significantly exceeds the guided range or management raises full-year guidance on the Q1 call.</w:t>
      </w:r>
    </w:p>
    <w:p>
      <w:pPr>
        <w:pStyle w:val="ListBullet2"/>
      </w:pPr>
      <w:r>
        <w:rPr>
          <w:i/>
        </w:rPr>
        <w:t>→ Research confirms: TIKR consensus estimates AppLovin's 2026 revenue at approximately $8.0 billion, directly corroborating the $8.05B figure cited in the brief as consensus expectations. (tikr.com)</w:t>
      </w:r>
    </w:p>
    <w:p>
      <w:pPr>
        <w:pStyle w:val="SubHeading"/>
      </w:pPr>
      <w:r>
        <w:t>Claim 2 — consensus_q_revenue</w:t>
      </w:r>
    </w:p>
    <w:p>
      <w:r>
        <w:t>Management's Q1 2026 guidance midpoint of $1,760M sits at the bottom of consensus range, and sequential deceleration pattern suggests limited upside to guide.</w:t>
      </w:r>
    </w:p>
    <w:p>
      <w:r>
        <w:t>Street anchor: $1.8B (yfinance consensus current quarter) → Our view: $1.8B</w:t>
      </w:r>
    </w:p>
    <w:p>
      <w:pPr>
        <w:pStyle w:val="PullQuote"/>
      </w:pPr>
      <w:r>
        <w:t>“1Q26 Revenue $1,745 $1,775”  (press_release)</w:t>
      </w:r>
    </w:p>
    <w:p>
      <w:r>
        <w:t>Why not consensus: Consensus takes the midpoint of guidance ranges at face value without considering management's historical conservatism patterns or sequential trajectory implications.</w:t>
      </w:r>
    </w:p>
    <w:p>
      <w:pPr>
        <w:pStyle w:val="KillCriteria"/>
      </w:pPr>
      <w:r>
        <w:t>Falsifier: If Q1 2026 actual revenue exceeds $1,775M guided range.</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revenue_growth</w:t>
            </w:r>
          </w:p>
        </w:tc>
        <w:tc>
          <w:tcPr>
            <w:tcW w:type="dxa" w:w="2448"/>
            <w:tcBorders>
              <w:top w:val="single" w:sz="4" w:color="BDC3C7"/>
              <w:bottom w:val="single" w:sz="4" w:color="BDC3C7"/>
              <w:left w:val="single" w:sz="4" w:color="BDC3C7"/>
              <w:right w:val="single" w:sz="4" w:color="BDC3C7"/>
            </w:tcBorders>
          </w:tcPr>
          <w:p>
            <w:r>
              <w:rPr>
                <w:b/>
              </w:rPr>
              <w:t>+35.00%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platform_growth_rate</w:t>
            </w:r>
          </w:p>
        </w:tc>
        <w:tc>
          <w:tcPr>
            <w:tcW w:type="dxa" w:w="2448"/>
            <w:tcBorders>
              <w:top w:val="single" w:sz="4" w:color="BDC3C7"/>
              <w:bottom w:val="single" w:sz="4" w:color="BDC3C7"/>
              <w:left w:val="single" w:sz="4" w:color="BDC3C7"/>
              <w:right w:val="single" w:sz="4" w:color="BDC3C7"/>
            </w:tcBorders>
          </w:tcPr>
          <w:p>
            <w:r>
              <w:t>+35.00%</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 xml:space="preserve">Based on Q1 2026 guidance midpoint of $1,760M and typical seasonal patterns for advertising businesses where Q1 represents 22-25% of annual revenue, implying full-year revenue of approximately $7.0-7.2B. This represents </w:t>
            </w:r>
          </w:p>
        </w:tc>
      </w:tr>
    </w:tbl>
    <w:p>
      <w:pPr>
        <w:pStyle w:val="SubHeading"/>
      </w:pPr>
      <w:r>
        <w:t>Bear revisions:</w:t>
      </w:r>
    </w:p>
    <w:p>
      <w:pPr>
        <w:pStyle w:val="ListBullet"/>
      </w:pPr>
      <w:r>
        <w:t>revenue_growth.platform_growth_rate: 28.9 → 25.0 — If e-commerce growth disappoints or competitive pressure from Meta/Google intensifies, platform growth could decelerate further. Bear case assumes Q1 weakness extends through the year.</w:t>
      </w:r>
    </w:p>
    <w:p>
      <w:pPr>
        <w:pStyle w:val="SubHeading"/>
      </w:pPr>
      <w:r>
        <w:t>Comp decomposition check:</w:t>
      </w:r>
    </w:p>
    <w:p>
      <w:pPr>
        <w:pStyle w:val="ListBullet"/>
      </w:pPr>
      <w:r>
        <w:t>Thin brief drivers (1 drivers / 1 components) on schema 'general'. The mechanical model and edge variant back-solve may be unreliable.</w:t>
      </w:r>
    </w:p>
    <w:p>
      <w:pPr>
        <w:pStyle w:val="SectionHeading"/>
      </w:pPr>
      <w:r>
        <w:t>3. Consensus Gap &amp; Valuation</w:t>
      </w:r>
    </w:p>
    <w:p>
      <w:r>
        <w:t>Our EPS: $13.99  =  baseline $15.82  +  Σ claim impacts $-1.83 (11.6% below consensus $15.82)</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$15.82</w:t>
            </w:r>
          </w:p>
        </w:tc>
      </w:tr>
      <w:tr>
        <w:tc>
          <w:tcPr>
            <w:tcW w:type="dxa" w:w="2448"/>
            <w:tcBorders>
              <w:top w:val="single" w:sz="4" w:color="BDC3C7"/>
              <w:bottom w:val="single" w:sz="4" w:color="BDC3C7"/>
              <w:left w:val="single" w:sz="4" w:color="BDC3C7"/>
              <w:right w:val="single" w:sz="4" w:color="BDC3C7"/>
            </w:tcBorders>
          </w:tcPr>
          <w:p>
            <w:r>
              <w:t>Revenue</w:t>
            </w:r>
          </w:p>
        </w:tc>
        <w:tc>
          <w:tcPr>
            <w:tcW w:type="dxa" w:w="2448"/>
            <w:tcBorders>
              <w:top w:val="single" w:sz="4" w:color="BDC3C7"/>
              <w:bottom w:val="single" w:sz="4" w:color="BDC3C7"/>
              <w:left w:val="single" w:sz="4" w:color="BDC3C7"/>
              <w:right w:val="single" w:sz="4" w:color="BDC3C7"/>
            </w:tcBorders>
          </w:tcPr>
          <w:p>
            <w:r>
              <w:t>Cons FY Rev</w:t>
              <w:br/>
              <w:t>$8.0B → $7.2B (Δ $-849M)</w:t>
            </w:r>
          </w:p>
        </w:tc>
        <w:tc>
          <w:tcPr>
            <w:tcW w:type="dxa" w:w="2448"/>
            <w:tcBorders>
              <w:top w:val="single" w:sz="4" w:color="BDC3C7"/>
              <w:bottom w:val="single" w:sz="4" w:color="BDC3C7"/>
              <w:left w:val="single" w:sz="4" w:color="BDC3C7"/>
              <w:right w:val="single" w:sz="4" w:color="BDC3C7"/>
            </w:tcBorders>
          </w:tcPr>
          <w:p>
            <w:r>
              <w:t>Revenue Δ $-849M × 85% incremental margin × 87% after-tax</w:t>
            </w:r>
          </w:p>
        </w:tc>
        <w:tc>
          <w:tcPr>
            <w:tcW w:type="dxa" w:w="2448"/>
            <w:tcBorders>
              <w:top w:val="single" w:sz="4" w:color="BDC3C7"/>
              <w:bottom w:val="single" w:sz="4" w:color="BDC3C7"/>
              <w:left w:val="single" w:sz="4" w:color="BDC3C7"/>
              <w:right w:val="single" w:sz="4" w:color="BDC3C7"/>
            </w:tcBorders>
          </w:tcPr>
          <w:p>
            <w:r>
              <w:t>-1.83  ⚠ Claude said -2.50</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-1.83</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$13.99</w:t>
            </w:r>
          </w:p>
        </w:tc>
      </w:tr>
    </w:tbl>
    <w:p>
      <w:pPr>
        <w:pStyle w:val="PullQuote"/>
      </w:pPr>
      <w:r>
        <w:t xml:space="preserve">  ⚠ Claim impact mismatch on consensus_fy_revenue: Claude said $-2.50, flow-through computes $-1.83</w:t>
      </w:r>
    </w:p>
    <w:p>
      <w:pPr>
        <w:pStyle w:val="PullQuote"/>
      </w:pPr>
      <w:r>
        <w:t xml:space="preserve">  ⚠ 1 claim(s) target a different fiscal period than the current_fy baseline and weren't summed: consensus_q_revenue</w:t>
      </w:r>
    </w:p>
    <w:p>
      <w:r>
        <w:t>Our estimate is $1.83 (11.6%) below consensus $15.82. No single driver within plausible bounds can close the gap to consensus when other drivers are held at our values; the EPS variant is diffuse (top magnitude: revenue_growth.platform_growth_rate). Variant appears NOT fully priced in based on available market data. Next catalyst: Next quarterly earnings report (2026-05-06 (1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revenue_growth.platform_growth_rate</w:t>
            </w:r>
          </w:p>
        </w:tc>
        <w:tc>
          <w:tcPr>
            <w:tcW w:type="dxa" w:w="1958"/>
            <w:tcBorders>
              <w:top w:val="single" w:sz="4" w:color="BDC3C7"/>
              <w:bottom w:val="single" w:sz="4" w:color="BDC3C7"/>
              <w:left w:val="single" w:sz="4" w:color="BDC3C7"/>
              <w:right w:val="single" w:sz="4" w:color="BDC3C7"/>
            </w:tcBorders>
          </w:tcPr>
          <w:p>
            <w:r>
              <w:t>+35.00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(-11.6%) exceeds implied move (9.6%)</w:t>
      </w:r>
    </w:p>
    <w:p>
      <w:r>
        <w:t>Edge verdict: ACTIONABLE_EDGE (score 0.400).</w:t>
      </w:r>
    </w:p>
    <w:p>
      <w:pPr>
        <w:pStyle w:val="SectionHeading"/>
      </w:pPr>
      <w:r>
        <w:t>4. Catalysts</w:t>
      </w:r>
    </w:p>
    <w:p>
      <w:pPr>
        <w:pStyle w:val="ListBullet"/>
      </w:pPr>
      <w:r>
        <w:t>Next quarterly earnings report (2026-05-06 (1 days)) — resolves revenue + margins + guidance; confirms or challenges</w:t>
      </w:r>
    </w:p>
    <w:p>
      <w:pPr>
        <w:pStyle w:val="ListBullet"/>
      </w:pPr>
      <w:r>
        <w:t>Resolution: E-commerce expansion will drive sustained 40%+ revenue growth (Resolves at earnings (2026-05-06)) — resolves revenue_growth; confirms or challenges</w:t>
      </w:r>
    </w:p>
    <w:p>
      <w:pPr>
        <w:pStyle w:val="ListBullet"/>
      </w:pPr>
      <w:r>
        <w:t>Resolution: Analyst blind spot (Multi-year thesis -- patience required) — resolves general; confirms or challenges</w:t>
      </w:r>
    </w:p>
    <w:p>
      <w:pPr>
        <w:pStyle w:val="ListBullet"/>
      </w:pPr>
      <w:r>
        <w:t>Resolution: Analyst blind spot (Multi-year thesis -- patience required) — resolves general; confirms or challenges</w:t>
      </w:r>
    </w:p>
    <w:p>
      <w:pPr>
        <w:pStyle w:val="ListBullet"/>
      </w:pPr>
      <w:r>
        <w:t>E-commerce revenue contribution and growth rate specifics (Unknown timing) — resolves multiple; resolves uncertainty</w:t>
      </w:r>
    </w:p>
    <w:p>
      <w:pPr>
        <w:pStyle w:val="ListBullet"/>
      </w:pPr>
      <w:r>
        <w:t>Prior-year Q1 seasonal patterns for more complete sequential analysis (Unknown timing) — resolves multiple; resolves uncertainty</w:t>
      </w:r>
    </w:p>
    <w:p>
      <w:pPr>
        <w:pStyle w:val="SectionHeading"/>
      </w:pPr>
      <w:r>
        <w:t>5. Risks, Blind Spots &amp; Kill Criteria</w:t>
      </w:r>
    </w:p>
    <w:p>
      <w:pPr>
        <w:pStyle w:val="SubHeading"/>
      </w:pPr>
      <w:r>
        <w:t>Top risks:</w:t>
      </w:r>
    </w:p>
    <w:p>
      <w:pPr>
        <w:pStyle w:val="ListBullet"/>
      </w:pPr>
      <w:r>
        <w:t>E-commerce expansion will drive sustained 40%+ revenue growth — counter: Management refused to break out e-commerce contribution in Q4 call, stating 'we're not going to do that because we think of our platform as a unified platform.' Q1 2026 guidance implies significant sequential deceleration from Q4 2025 run-rate. [serious]</w:t>
      </w:r>
    </w:p>
    <w:p>
      <w:pPr>
        <w:pStyle w:val="ListBullet"/>
      </w:pPr>
      <w:r>
        <w:t>Q1 2026 guidance implies material deceleration from current run-rates — counter: Q1 2026 guidance of $1,745-1,775M represents only 5.3-7.1% sequential growth vs Q4 2025's $1,658M, but Q1 is seasonally weak - Q1 2025 showed -15.2% sequential decline from Q4 2024 per quarterly financials table. The 'deceleration' may be normal seasonality rather than structural weakness. [serious]</w:t>
      </w:r>
    </w:p>
    <w:p>
      <w:pPr>
        <w:pStyle w:val="ListBullet"/>
      </w:pPr>
      <w:r>
        <w:t>Platform growth rate assumption of 28.9% — counter: Filing shows Q4 2025 revenue was $1,658M vs Q4 2024 of $999M = 66% YoY growth, and full year 2025 was $5,481M vs 2024 $3,224M = 70% YoY growth. Current growth rates are dramatically higher than the assumed 28.9%, suggesting the analyst may be underestimating momentum. [serious]</w:t>
      </w:r>
    </w:p>
    <w:p>
      <w:pPr>
        <w:pStyle w:val="SubHeading"/>
      </w:pPr>
      <w:r>
        <w:t>Blind spots (auditor-independent):</w:t>
      </w:r>
    </w:p>
    <w:p>
      <w:pPr>
        <w:pStyle w:val="ListBullet"/>
      </w:pPr>
      <w:r>
        <w:t>Major leadership transition risk - CTO and Chief Legal Officer both departing in July/August 2026 per press release, during critical execution period for ambitious growth targets</w:t>
      </w:r>
    </w:p>
    <w:p>
      <w:pPr>
        <w:pStyle w:val="ListBullet"/>
      </w:pPr>
      <w:r>
        <w:t>Short-seller fraud allegations from Fuzzy Panda claiming 'ad fraud' and 'stealing Meta's data' for e-commerce expansion - regulatory/reputational risk not addressed</w:t>
      </w:r>
    </w:p>
    <w:p>
      <w:pPr>
        <w:pStyle w:val="ListBullet"/>
      </w:pPr>
      <w:r>
        <w:t>Culper Research allegations of 'undisclosed business relationships' and 'misleading AI claims' - if true, could impact the AI/Axon platform credibility that drives premium valuations</w:t>
      </w:r>
    </w:p>
    <w:p>
      <w:pPr>
        <w:pStyle w:val="KillCriteria"/>
      </w:pPr>
      <w:r>
        <w:t>What would change our mind: Unable to close gap: E-commerce revenue contribution and growth rate specifics</w:t>
      </w:r>
    </w:p>
    <w:p>
      <w:pPr>
        <w:pStyle w:val="SectionHeading"/>
      </w:pPr>
      <w:r>
        <w:t>Appendix</w:t>
      </w:r>
    </w:p>
    <w:p>
      <w:pPr>
        <w:pStyle w:val="SubHeading"/>
      </w:pPr>
      <w:r>
        <w:t>Business context:</w:t>
      </w:r>
    </w:p>
    <w:p>
      <w:r>
        <w:t>AppLovin operates a mobile advertising platform that connects advertisers with mobile game publishers through its MAX mediation platform and Axon bidding engine. The company generates revenue by taking a percentage of advertising transactions, with recent expansion into e-commerce advertising beyond its core mobile gaming vertical.</w:t>
      </w:r>
    </w:p>
    <w:p>
      <w:pPr>
        <w:pStyle w:val="SubHeading"/>
      </w:pPr>
      <w:r>
        <w:t>Evidence gaps (research TODO):</w:t>
      </w:r>
    </w:p>
    <w:p>
      <w:pPr>
        <w:pStyle w:val="ListBullet"/>
      </w:pPr>
      <w:r>
        <w:t>E-commerce revenue contribution and growth rate specifics</w:t>
      </w:r>
    </w:p>
    <w:p>
      <w:pPr>
        <w:pStyle w:val="ListBullet"/>
      </w:pPr>
      <w:r>
        <w:t>Prior-year Q1 seasonal patterns for more complete sequential analysis</w:t>
      </w:r>
    </w:p>
    <w:p>
      <w:pPr>
        <w:pStyle w:val="ListBullet"/>
      </w:pPr>
      <w:r>
        <w:t>Competitive response timeline from Meta and Google in e-commerce advertising</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