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APP — APP</w:t>
      </w:r>
    </w:p>
    <w:p>
      <w:pPr>
        <w:pStyle w:val="SmallMeta"/>
      </w:pPr>
      <w:r>
        <w:t>As of 2026-05-05  |  Schema: general  |  Data: polygon+alpha_vantage (FY2025)</w:t>
      </w:r>
    </w:p>
    <w:p>
      <w:pPr>
        <w:pStyle w:val="SubHeading"/>
      </w:pPr>
      <w:r>
        <w:rPr>
          <w:color w:val="8C1D40"/>
        </w:rPr>
        <w:t>Direction: SHORT | Current: $478.11</w:t>
      </w:r>
    </w:p>
    <w:p>
      <w:pPr>
        <w:pStyle w:val="SubHeading"/>
      </w:pPr>
      <w:r>
        <w:t>Summary</w:t>
      </w:r>
    </w:p>
    <w:p>
      <w:pPr>
        <w:pStyle w:val="ListBullet"/>
      </w:pPr>
      <w:r>
        <w:t>Thesis: Consensus FY2026 revenue of $8.05B appears 8-12% too high based on Q1 2026 guidance seasonality patterns and management's cautious e-commerce scaling approach.</w:t>
      </w:r>
    </w:p>
    <w:p>
      <w:pPr>
        <w:pStyle w:val="ListBullet"/>
      </w:pPr>
      <w:r>
        <w:t>Next catalyst: Next quarterly earnings report (2026-05-06 (1 days))</w:t>
      </w:r>
    </w:p>
    <w:p>
      <w:pPr>
        <w:pStyle w:val="ListBullet"/>
      </w:pPr>
      <w:r>
        <w:t>Top risk: E-commerce will drive sustained 40%+ revenue growth</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3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$3.46</w:t>
            </w:r>
          </w:p>
        </w:tc>
        <w:tc>
          <w:tcPr>
            <w:tcW w:type="dxa" w:w="1399"/>
            <w:tcBorders>
              <w:top w:val="single" w:sz="4" w:color="BDC3C7"/>
              <w:bottom w:val="single" w:sz="4" w:color="BDC3C7"/>
              <w:left w:val="single" w:sz="4" w:color="BDC3C7"/>
              <w:right w:val="single" w:sz="4" w:color="BDC3C7"/>
            </w:tcBorders>
          </w:tcPr>
          <w:p>
            <w:r>
              <w:t>$3.15 – $3.76</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+107.0%</w:t>
            </w:r>
          </w:p>
        </w:tc>
        <w:tc>
          <w:tcPr>
            <w:tcW w:type="dxa" w:w="1399"/>
            <w:tcBorders>
              <w:top w:val="single" w:sz="4" w:color="BDC3C7"/>
              <w:bottom w:val="single" w:sz="4" w:color="BDC3C7"/>
              <w:left w:val="single" w:sz="4" w:color="BDC3C7"/>
              <w:right w:val="single" w:sz="4" w:color="BDC3C7"/>
            </w:tcBorders>
          </w:tcPr>
          <w:p>
            <w:r>
              <w:t>↑ +0.010</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$3.70</w:t>
            </w:r>
          </w:p>
        </w:tc>
        <w:tc>
          <w:tcPr>
            <w:tcW w:type="dxa" w:w="1399"/>
            <w:tcBorders>
              <w:top w:val="single" w:sz="4" w:color="BDC3C7"/>
              <w:bottom w:val="single" w:sz="4" w:color="BDC3C7"/>
              <w:left w:val="single" w:sz="4" w:color="BDC3C7"/>
              <w:right w:val="single" w:sz="4" w:color="BDC3C7"/>
            </w:tcBorders>
          </w:tcPr>
          <w:p>
            <w:r>
              <w:t>$3.35 – $4.05</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+54.8%</w:t>
            </w:r>
          </w:p>
        </w:tc>
        <w:tc>
          <w:tcPr>
            <w:tcW w:type="dxa" w:w="1399"/>
            <w:tcBorders>
              <w:top w:val="single" w:sz="4" w:color="BDC3C7"/>
              <w:bottom w:val="single" w:sz="4" w:color="BDC3C7"/>
              <w:left w:val="single" w:sz="4" w:color="BDC3C7"/>
              <w:right w:val="single" w:sz="4" w:color="BDC3C7"/>
            </w:tcBorders>
          </w:tcPr>
          <w:p>
            <w:r>
              <w:t>↑ +0.031</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$15.82</w:t>
            </w:r>
          </w:p>
        </w:tc>
        <w:tc>
          <w:tcPr>
            <w:tcW w:type="dxa" w:w="1399"/>
            <w:tcBorders>
              <w:top w:val="single" w:sz="4" w:color="BDC3C7"/>
              <w:bottom w:val="single" w:sz="4" w:color="BDC3C7"/>
              <w:left w:val="single" w:sz="4" w:color="BDC3C7"/>
              <w:right w:val="single" w:sz="4" w:color="BDC3C7"/>
            </w:tcBorders>
          </w:tcPr>
          <w:p>
            <w:r>
              <w:t>$14.32 – $17.62</w:t>
            </w:r>
          </w:p>
        </w:tc>
        <w:tc>
          <w:tcPr>
            <w:tcW w:type="dxa" w:w="1399"/>
            <w:tcBorders>
              <w:top w:val="single" w:sz="4" w:color="BDC3C7"/>
              <w:bottom w:val="single" w:sz="4" w:color="BDC3C7"/>
              <w:left w:val="single" w:sz="4" w:color="BDC3C7"/>
              <w:right w:val="single" w:sz="4" w:color="BDC3C7"/>
            </w:tcBorders>
          </w:tcPr>
          <w:p>
            <w:r>
              <w:t>23</w:t>
            </w:r>
          </w:p>
        </w:tc>
        <w:tc>
          <w:tcPr>
            <w:tcW w:type="dxa" w:w="1399"/>
            <w:tcBorders>
              <w:top w:val="single" w:sz="4" w:color="BDC3C7"/>
              <w:bottom w:val="single" w:sz="4" w:color="BDC3C7"/>
              <w:left w:val="single" w:sz="4" w:color="BDC3C7"/>
              <w:right w:val="single" w:sz="4" w:color="BDC3C7"/>
            </w:tcBorders>
          </w:tcPr>
          <w:p>
            <w:r>
              <w:t>+62.3%</w:t>
            </w:r>
          </w:p>
        </w:tc>
        <w:tc>
          <w:tcPr>
            <w:tcW w:type="dxa" w:w="1399"/>
            <w:tcBorders>
              <w:top w:val="single" w:sz="4" w:color="BDC3C7"/>
              <w:bottom w:val="single" w:sz="4" w:color="BDC3C7"/>
              <w:left w:val="single" w:sz="4" w:color="BDC3C7"/>
              <w:right w:val="single" w:sz="4" w:color="BDC3C7"/>
            </w:tcBorders>
          </w:tcPr>
          <w:p>
            <w:r>
              <w:t>↑ +0.084</w:t>
            </w:r>
          </w:p>
        </w:tc>
        <w:tc>
          <w:tcPr>
            <w:tcW w:type="dxa" w:w="1399"/>
            <w:tcBorders>
              <w:top w:val="single" w:sz="4" w:color="BDC3C7"/>
              <w:bottom w:val="single" w:sz="4" w:color="BDC3C7"/>
              <w:left w:val="single" w:sz="4" w:color="BDC3C7"/>
              <w:right w:val="single" w:sz="4" w:color="BDC3C7"/>
            </w:tcBorders>
          </w:tcPr>
          <w:p>
            <w:r>
              <w:t>↑5 / ↓0</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$20.67</w:t>
            </w:r>
          </w:p>
        </w:tc>
        <w:tc>
          <w:tcPr>
            <w:tcW w:type="dxa" w:w="1399"/>
            <w:tcBorders>
              <w:top w:val="single" w:sz="4" w:color="BDC3C7"/>
              <w:bottom w:val="single" w:sz="4" w:color="BDC3C7"/>
              <w:left w:val="single" w:sz="4" w:color="BDC3C7"/>
              <w:right w:val="single" w:sz="4" w:color="BDC3C7"/>
            </w:tcBorders>
          </w:tcPr>
          <w:p>
            <w:r>
              <w:t>$15.72 – $23.35</w:t>
            </w:r>
          </w:p>
        </w:tc>
        <w:tc>
          <w:tcPr>
            <w:tcW w:type="dxa" w:w="1399"/>
            <w:tcBorders>
              <w:top w:val="single" w:sz="4" w:color="BDC3C7"/>
              <w:bottom w:val="single" w:sz="4" w:color="BDC3C7"/>
              <w:left w:val="single" w:sz="4" w:color="BDC3C7"/>
              <w:right w:val="single" w:sz="4" w:color="BDC3C7"/>
            </w:tcBorders>
          </w:tcPr>
          <w:p>
            <w:r>
              <w:t>24</w:t>
            </w:r>
          </w:p>
        </w:tc>
        <w:tc>
          <w:tcPr>
            <w:tcW w:type="dxa" w:w="1399"/>
            <w:tcBorders>
              <w:top w:val="single" w:sz="4" w:color="BDC3C7"/>
              <w:bottom w:val="single" w:sz="4" w:color="BDC3C7"/>
              <w:left w:val="single" w:sz="4" w:color="BDC3C7"/>
              <w:right w:val="single" w:sz="4" w:color="BDC3C7"/>
            </w:tcBorders>
          </w:tcPr>
          <w:p>
            <w:r>
              <w:t>+30.7%</w:t>
            </w:r>
          </w:p>
        </w:tc>
        <w:tc>
          <w:tcPr>
            <w:tcW w:type="dxa" w:w="1399"/>
            <w:tcBorders>
              <w:top w:val="single" w:sz="4" w:color="BDC3C7"/>
              <w:bottom w:val="single" w:sz="4" w:color="BDC3C7"/>
              <w:left w:val="single" w:sz="4" w:color="BDC3C7"/>
              <w:right w:val="single" w:sz="4" w:color="BDC3C7"/>
            </w:tcBorders>
          </w:tcPr>
          <w:p>
            <w:r>
              <w:t>↑ +0.234</w:t>
            </w:r>
          </w:p>
        </w:tc>
        <w:tc>
          <w:tcPr>
            <w:tcW w:type="dxa" w:w="1399"/>
            <w:tcBorders>
              <w:top w:val="single" w:sz="4" w:color="BDC3C7"/>
              <w:bottom w:val="single" w:sz="4" w:color="BDC3C7"/>
              <w:left w:val="single" w:sz="4" w:color="BDC3C7"/>
              <w:right w:val="single" w:sz="4" w:color="BDC3C7"/>
            </w:tcBorders>
          </w:tcPr>
          <w:p>
            <w:r>
              <w:t>↑4 / ↓0</w:t>
            </w:r>
          </w:p>
        </w:tc>
      </w:tr>
    </w:tbl>
    <w:p>
      <w:r>
        <w:t>Revenue consensus: Q $1.78B (+19.6%)  |  Q+1 $1.90B (+50.8%)  |  FY $8.05B (+46.9%)  |  FY+1 $10.42B (+29.5%)</w:t>
      </w:r>
    </w:p>
    <w:p>
      <w:r>
        <w:t>Price targets: Mean $638.50  |  Median $647.00  |  Range $340.00–$860.00  |  Current $478.11 (+33.5% to mean)</w:t>
      </w:r>
    </w:p>
    <w:p>
      <w:r>
        <w:t>Analyst ratings (n=30): Strong Buy 6 · Buy 20 · Hold 4 · Sell 0 · Strong Sell 0  ·  87% bullish</w:t>
      </w:r>
    </w:p>
    <w:p>
      <w:r>
        <w:t>Next earnings: 2026-05-06 (1d out)  ·  EPS $3.64 ($3.53–$3.74)  ·  Rev $1.78B</w:t>
      </w:r>
    </w:p>
    <w:p>
      <w:pPr>
        <w:pStyle w:val="SectionHeading"/>
      </w:pPr>
      <w:r>
        <w:t>1. Research Synthesis</w:t>
      </w:r>
    </w:p>
    <w:p>
      <w:r>
        <w:t>AppLovin delivered exceptional Q4 2025 results with $1.658B revenue (+66% YoY) and 84% adjusted EBITDA margins, but the forward setup reveals meaningful tensions between management's measured approach and street expectations. The Q1 2026 revenue guidance of $1.745-1.775B represents strong 19.6% YoY growth at midpoint, yet when analyzed against seasonal patterns, suggests a more modest full-year trajectory than consensus anticipates.</w:t>
      </w:r>
    </w:p>
    <w:p>
      <w:pPr>
        <w:pStyle w:val="ListBullet"/>
      </w:pPr>
      <w:r>
        <w:rPr>
          <w:i/>
        </w:rPr>
        <w:t>→ Research [UPDATES]: AppLovin Q4 2025 revenue was $1.658B with 66% YoY growth. The brief claims $1.658B revenue, which matches the exact figure, but sources consistently report $1.66B (rounded), and one source reports 65.88% YoY growth rather than 66%. (applovin.com)</w:t>
      </w:r>
    </w:p>
    <w:p>
      <w:pPr>
        <w:pStyle w:val="ListBullet"/>
      </w:pPr>
      <w:r>
        <w:rPr>
          <w:i/>
        </w:rPr>
        <w:t>→ Research [CONTRADICTS]: AppLovin's Q1 2026 guidance of $1.745–1.775B represents 19.5–20.3% YoY growth, not 19.6% as claimed. The midpoint ($1.76B) implies ~19.9% YoY growth based on Q1 2025 revenue of ~$1.48B, contradicting the precise 19.6% figure stated. (bitget.com)</w:t>
      </w:r>
    </w:p>
    <w:p>
      <w:r>
        <w:t>The sequential trajectory analysis reveals the core tension. Q1 2026 guidance midpoint of $1.76B represents a +6.2% sequential increase from Q4 2025's $1.658B actual. However, Q4 2024 is not in our 12-quarter historicals window so a same-period prior-year sequential comparison is unavailable. This year's guided sequential increase indicates underlying business momentum, and the absolute Q1 level implies different full-year math than consensus assumes. If Q1 represents the typical 22-24% of annual revenue seen in advertising businesses (due to post-holiday seasonality), the $1.76B midpoint suggests $7.3-8.0B FY26 revenue versus consensus $8.05B.</w:t>
      </w:r>
    </w:p>
    <w:p>
      <w:pPr>
        <w:pStyle w:val="PullQuote"/>
      </w:pPr>
      <w:r>
        <w:t>Counter: the analyst claims Q1 2026 guidance seasonality patterns indicate consensus FY2026 revenue is 8-12% too high — but The Q1 guidance actually shows weaker sequential momentum than historical patterns (5.6% vs 11.0% Q1/Q4 growth), suggesting the business is decelerating faster than consensus expects. This makes the analyst's 'too high' thesis directionally correct but for the wrong reasons - the real issue is fundamental deceleration, not seasonal patterns.</w:t>
      </w:r>
    </w:p>
    <w:p>
      <w:r>
        <w:t>Management's e-commerce expansion strategy adds complexity to the growth algorithm. In the Q4 2025 call, CEO Foroughi emphasized measured scaling: 'We opened up the self-service platform, referral only. So we're not at the point yet where we're sort of a GA-type launch. We'll get there. We said first half of this year.' This contrasts with street models that appear to assume more aggressive e-commerce contribution. The company disclosed a $1B+ e-commerce run-rate in prior quarters but has deliberately constrained new advertiser onboarding while building product infrastructure. CFO commentary suggests Q4 benefited from 'current customers that had lapped Q4 2024 into Q4 2025 saw material increases in spend as our models just keep getting better' rather than massive new advertiser influx.</w:t>
      </w:r>
    </w:p>
    <w:p>
      <w:r>
        <w:t>The competitive dynamics around Meta's increased bidding activity deserve scrutiny given bear research allegations. In Q4 Q&amp;A, Foroughi addressed Meta directly: 'Meta was a launch partner of Max. They're a good partner... They are a bidder on anything that has an ID today, and they're not a bidder on anything that does not have an ID. So think IDFA off. That's about two-thirds of the full-screen ad units that they currently bid on.' He noted Meta 'might very well bid on no ID traffic in the next couple quarters.' This suggests potential auction density increases, which management frames as positive ('growth in the ecosystem allows the max market economics to improve'), but creates uncertainty around AppLovin's take rates if Meta becomes more aggressive on non-ID inventory.</w:t>
      </w:r>
    </w:p>
    <w:p>
      <w:r>
        <w:t>The margin trajectory appears more sustainable than revenue growth. Q4 2025 adjusted EBITDA margin of 84% expanded 700bps year-over-year, with management noting 'quarter-over-quarter flow-through to adjusted EBITDA was 95%.' The structured financials show operating margins of 75.8% on $5.48B FY2025 revenue, indicating substantial operating leverage. However, this creates a high bar for consensus FY2026 expectations - street models implicitly assume continued margin expansion while revenue accelerates, a combination that requires flawless execution.</w:t>
      </w:r>
    </w:p>
    <w:p>
      <w:pPr>
        <w:pStyle w:val="ListBullet"/>
      </w:pPr>
      <w:r>
        <w:rPr>
          <w:i/>
        </w:rPr>
        <w:t>→ Research confirms: AppLovin's Q4 2025 adjusted EBITDA margin reached 84%, with margins expanding 700 basis points year-over-year from 77% in Q4 2024, directly confirming the verbatim claim. (applovin.com)</w:t>
      </w:r>
    </w:p>
    <w:p>
      <w:r>
        <w:t>Capital allocation behavior signals management confidence but also highlights valuation sensitivity. The company repurchased $2.58B of stock in FY2025 (funded entirely by $3.95B free cash flow), reducing share count from 346M to 340M. Recent insider activity shows mixed signals - director Vivas sold $181.6M across multiple transactions (March 2026), while CEO Foroughi sold $96M, suggesting some profit-taking at elevated levels. The $3.28B remaining buyback authorization provides flexibility, but the aggressive pace may indicate management views current levels as attractive relative to growth investment opportunities.</w:t>
      </w:r>
    </w:p>
    <w:p>
      <w:pPr>
        <w:pStyle w:val="ListBullet"/>
      </w:pPr>
      <w:r>
        <w:rPr>
          <w:i/>
        </w:rPr>
        <w:t>→ Research confirms: AppLovin repurchased $2.58B of stock in FY2025 with Free Cash Flow of $3.95B. Company statement confirms buybacks were "funded entirely by free cash flow." (applovin.com)</w:t>
      </w:r>
    </w:p>
    <w:p>
      <w:pPr>
        <w:pStyle w:val="ListBullet"/>
      </w:pPr>
      <w:r>
        <w:rPr>
          <w:i/>
        </w:rPr>
        <w:t>→ Research [CONTRADICTS]: Director Vivas sold 163,910 shares for ~$74.3M on March 16, 2026 (not $181.6M). CEO Foroughi sold 40,704 shares for ~$18.7M on March 12, 2026 (not $96M). The brief materially overstates both transaction values. (stocktitan.net)</w:t>
      </w:r>
    </w:p>
    <w:p>
      <w:pPr>
        <w:pStyle w:val="ListBullet"/>
      </w:pPr>
      <w:r>
        <w:rPr>
          <w:i/>
        </w:rPr>
        <w:t>→ Research: KKR acquired 9.98% minority stake in 2018 via KKR Americas XII Fund; held Class B super-voting shares alongside founder Foroughi; executed multiple secondary exits (Feb 2024: 19.9M shares; May 2024: 17.5M shares; Dec 2024: 5.3M shares) totaling ~$4.4B, signaling active exit pressure and overhang risk. (applovin.com)</w:t>
      </w:r>
    </w:p>
    <w:p>
      <w:r>
        <w:t>Bear research from Fuzzy Panda and Culper raises specific operational concerns that merit monitoring. Fuzzy Panda alleges three mechanisms: direct downloads without consent, inappropriate ad targeting to minors, and e-commerce performance built on 'copying Meta's data.' While these remain unsubstantiated, the e-commerce data-dependency claim is most thesis-relevant - if true, e-commerce CPMs could prove unsustainable when Meta restricts data access. Management hasn't directly addressed these allegations, creating information asymmetry.</w:t>
      </w:r>
    </w:p>
    <w:p>
      <w:pPr>
        <w:pStyle w:val="ListBullet"/>
      </w:pPr>
      <w:r>
        <w:rPr>
          <w:i/>
        </w:rPr>
        <w:t>→ Research confirms: Fuzzy Panda and Culper Research published critical reports on February 26, 2025 alleging fraudulent advertising practices, data theft from Meta, illegal child tracking, and systematic exploitation of app permissions—specific operational concerns that directly impact AppLovin's e-commerce growth thesis. (invezz.com)</w:t>
      </w:r>
    </w:p>
    <w:p>
      <w:r>
        <w:t>The guidance philosophy reveals conservative tendencies that may provide downside protection. Management doesn't provide formal annual guidance, focusing on quarterly visibility. The Q1 2026 guide of $1.745-1.775B revenue with 84% adjusted EBITDA margins suggests confidence in near-term model performance but avoids longer-term commitments around e-commerce scaling or competitive positioning. This measured approach contrasts with consensus assumptions of sustained 30%+ growth through FY2027.</w:t>
      </w:r>
    </w:p>
    <w:p>
      <w:r>
        <w:t>Synthesizing across these factors, the most defensible view places FY2026 revenue at $7.4-7.6B (versus consensus $8.05B), driven by Q1 seasonal math and management's deliberate e-commerce pacing. The margin profile should remain strong given operating leverage, but revenue growth likely moderates from current pace as easier gaming comps become more difficult and e-commerce scaling proves more gradual than street expects.</w:t>
      </w:r>
    </w:p>
    <w:p>
      <w:pPr>
        <w:pStyle w:val="ListBullet"/>
      </w:pPr>
      <w:r>
        <w:rPr>
          <w:i/>
        </w:rPr>
        <w:t>→ Research: Liftoff filed S-1 IPO in Jan 2026 (updated Apr 2026) with Cortex AI engine and 160k+ app SDK footprint. Competes directly with Meta, Google, Amazon, AppLovin, Unity, Moloco. Recent competitive moves: unified DSP+SSP architecture, 32% YoY revenue growth (2025), 131% net dollar retention, and deep integration with Unity LevelPlay bidding ecosystem despite being competitors. (tradingview.com)</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$3.46</w:t>
            </w:r>
          </w:p>
        </w:tc>
        <w:tc>
          <w:tcPr>
            <w:tcW w:type="dxa" w:w="3264"/>
            <w:tcBorders>
              <w:top w:val="single" w:sz="4" w:color="BDC3C7"/>
              <w:bottom w:val="single" w:sz="4" w:color="BDC3C7"/>
              <w:left w:val="single" w:sz="4" w:color="BDC3C7"/>
              <w:right w:val="single" w:sz="4" w:color="BDC3C7"/>
            </w:tcBorders>
          </w:tcPr>
          <w:p>
            <w:r>
              <w:t>$1,775M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$3.70</w:t>
            </w:r>
          </w:p>
        </w:tc>
        <w:tc>
          <w:tcPr>
            <w:tcW w:type="dxa" w:w="3264"/>
            <w:tcBorders>
              <w:top w:val="single" w:sz="4" w:color="BDC3C7"/>
              <w:bottom w:val="single" w:sz="4" w:color="BDC3C7"/>
              <w:left w:val="single" w:sz="4" w:color="BDC3C7"/>
              <w:right w:val="single" w:sz="4" w:color="BDC3C7"/>
            </w:tcBorders>
          </w:tcPr>
          <w:p>
            <w:r>
              <w:t>$1,898M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$15.82</w:t>
            </w:r>
          </w:p>
        </w:tc>
        <w:tc>
          <w:tcPr>
            <w:tcW w:type="dxa" w:w="3264"/>
            <w:tcBorders>
              <w:top w:val="single" w:sz="4" w:color="BDC3C7"/>
              <w:bottom w:val="single" w:sz="4" w:color="BDC3C7"/>
              <w:left w:val="single" w:sz="4" w:color="BDC3C7"/>
              <w:right w:val="single" w:sz="4" w:color="BDC3C7"/>
            </w:tcBorders>
          </w:tcPr>
          <w:p>
            <w:r>
              <w:t>$8,049M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$20.67</w:t>
            </w:r>
          </w:p>
        </w:tc>
        <w:tc>
          <w:tcPr>
            <w:tcW w:type="dxa" w:w="3264"/>
            <w:tcBorders>
              <w:top w:val="single" w:sz="4" w:color="BDC3C7"/>
              <w:bottom w:val="single" w:sz="4" w:color="BDC3C7"/>
              <w:left w:val="single" w:sz="4" w:color="BDC3C7"/>
              <w:right w:val="single" w:sz="4" w:color="BDC3C7"/>
            </w:tcBorders>
          </w:tcPr>
          <w:p>
            <w:r>
              <w:t>$10,420M</w:t>
            </w:r>
          </w:p>
        </w:tc>
      </w:tr>
    </w:tbl>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$8.0B</w:t>
            </w:r>
          </w:p>
        </w:tc>
        <w:tc>
          <w:tcPr>
            <w:tcW w:type="dxa" w:w="1632"/>
            <w:tcBorders>
              <w:top w:val="single" w:sz="4" w:color="BDC3C7"/>
              <w:bottom w:val="single" w:sz="4" w:color="BDC3C7"/>
              <w:left w:val="single" w:sz="4" w:color="BDC3C7"/>
              <w:right w:val="single" w:sz="4" w:color="BDC3C7"/>
            </w:tcBorders>
          </w:tcPr>
          <w:p>
            <w:r>
              <w:t>$7.4B</w:t>
            </w:r>
          </w:p>
        </w:tc>
        <w:tc>
          <w:tcPr>
            <w:tcW w:type="dxa" w:w="1632"/>
            <w:tcBorders>
              <w:top w:val="single" w:sz="4" w:color="BDC3C7"/>
              <w:bottom w:val="single" w:sz="4" w:color="BDC3C7"/>
              <w:left w:val="single" w:sz="4" w:color="BDC3C7"/>
              <w:right w:val="single" w:sz="4" w:color="BDC3C7"/>
            </w:tcBorders>
          </w:tcPr>
          <w:p>
            <w:r>
              <w:t>-4.20</w:t>
            </w:r>
          </w:p>
        </w:tc>
        <w:tc>
          <w:tcPr>
            <w:tcW w:type="dxa" w:w="1632"/>
            <w:tcBorders>
              <w:top w:val="single" w:sz="4" w:color="BDC3C7"/>
              <w:bottom w:val="single" w:sz="4" w:color="BDC3C7"/>
              <w:left w:val="single" w:sz="4" w:color="BDC3C7"/>
              <w:right w:val="single" w:sz="4" w:color="BDC3C7"/>
            </w:tcBorders>
          </w:tcPr>
          <w:p>
            <w:r>
              <w:t>non_public_inference</w:t>
            </w:r>
          </w:p>
        </w:tc>
      </w:tr>
    </w:tbl>
    <w:p>
      <w:pPr>
        <w:pStyle w:val="SubHeading"/>
      </w:pPr>
      <w:r>
        <w:t>Claim 1 — consensus_fy_revenue</w:t>
      </w:r>
    </w:p>
    <w:p>
      <w:r>
        <w:t>Q1 2026 guidance midpoint of $1.76B implies $7.3-8.0B FY26 based on normal advertising seasonality (Q1 = 22-24% of annual), well below consensus $8.05B</w:t>
      </w:r>
    </w:p>
    <w:p>
      <w:r>
        <w:t>Street anchor: $8.0B (yfinance consensus FY2026) → Our view: $7.4B</w:t>
      </w:r>
    </w:p>
    <w:p>
      <w:pPr>
        <w:pStyle w:val="PullQuote"/>
      </w:pPr>
      <w:r>
        <w:t>“In the first quarter of 2026, we anticipate revenue between $1,745 and $1,775”  (press_release)</w:t>
      </w:r>
    </w:p>
    <w:p>
      <w:pPr>
        <w:pStyle w:val="PullQuote"/>
      </w:pPr>
      <w:r>
        <w:t>“We opened up the self-service platform, referral only. So we're not at the point yet where we're sort of a GA-type launch”  (transcript)</w:t>
      </w:r>
    </w:p>
    <w:p>
      <w:r>
        <w:t>Why not consensus: Single-quarter analysts model FY top-down from growth rates; they don't reconcile Q1 guide against seasonal patterns or factor management's measured e-commerce scaling approach</w:t>
      </w:r>
    </w:p>
    <w:p>
      <w:pPr>
        <w:pStyle w:val="KillCriteria"/>
      </w:pPr>
      <w:r>
        <w:t>Falsifier: If Q1 prints materially above $1.775B guide or management raises FY26 outlook on Q1 call</w:t>
      </w:r>
    </w:p>
    <w:p>
      <w:pPr>
        <w:pStyle w:val="ListBullet2"/>
      </w:pPr>
      <w:r>
        <w:rPr>
          <w:i/>
        </w:rPr>
        <w:t>→ Research: Management guidance confirms $8.0-10.3B FY2026 target range, validating the upper end of the claim's $7.3-8.0B range. However, search results do not locate the specific $8.05B consensus figure cited in the brief; only quarterly consensus data available. (financialcontent.com)</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+31.44%</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gaming_advertising_growth</w:t>
            </w:r>
          </w:p>
        </w:tc>
        <w:tc>
          <w:tcPr>
            <w:tcW w:type="dxa" w:w="2448"/>
            <w:tcBorders>
              <w:top w:val="single" w:sz="4" w:color="BDC3C7"/>
              <w:bottom w:val="single" w:sz="4" w:color="BDC3C7"/>
              <w:left w:val="single" w:sz="4" w:color="BDC3C7"/>
              <w:right w:val="single" w:sz="4" w:color="BDC3C7"/>
            </w:tcBorders>
          </w:tcPr>
          <w:p>
            <w:r>
              <w:t>+25.00%</w:t>
            </w:r>
          </w:p>
        </w:tc>
        <w:tc>
          <w:tcPr>
            <w:tcW w:type="dxa" w:w="2448"/>
            <w:tcBorders>
              <w:top w:val="single" w:sz="4" w:color="BDC3C7"/>
              <w:bottom w:val="single" w:sz="4" w:color="BDC3C7"/>
              <w:left w:val="single" w:sz="4" w:color="BDC3C7"/>
              <w:right w:val="single" w:sz="4" w:color="BDC3C7"/>
            </w:tcBorders>
          </w:tcPr>
          <w:p>
            <w:r>
              <w:t>0.70</w:t>
            </w:r>
          </w:p>
        </w:tc>
        <w:tc>
          <w:tcPr>
            <w:tcW w:type="dxa" w:w="2448"/>
            <w:tcBorders>
              <w:top w:val="single" w:sz="4" w:color="BDC3C7"/>
              <w:bottom w:val="single" w:sz="4" w:color="BDC3C7"/>
              <w:left w:val="single" w:sz="4" w:color="BDC3C7"/>
              <w:right w:val="single" w:sz="4" w:color="BDC3C7"/>
            </w:tcBorders>
          </w:tcPr>
          <w:p>
            <w:r>
              <w:t>In the Q4 2025 call, management noted 'continued technology advancements to our core mobile gaming business' driving growth. Q4 gaming revenue grew 66% YoY with management citing 'multiple incremental lifts in our core m</w:t>
            </w:r>
          </w:p>
        </w:tc>
      </w:tr>
      <w:tr>
        <w:tc>
          <w:tcPr>
            <w:tcW w:type="dxa" w:w="2448"/>
            <w:tcBorders>
              <w:top w:val="single" w:sz="4" w:color="BDC3C7"/>
              <w:bottom w:val="single" w:sz="4" w:color="BDC3C7"/>
              <w:left w:val="single" w:sz="4" w:color="BDC3C7"/>
              <w:right w:val="single" w:sz="4" w:color="BDC3C7"/>
            </w:tcBorders>
          </w:tcPr>
          <w:p>
            <w:r>
              <w:t xml:space="preserve">    ecommerce_contribution</w:t>
            </w:r>
          </w:p>
        </w:tc>
        <w:tc>
          <w:tcPr>
            <w:tcW w:type="dxa" w:w="2448"/>
            <w:tcBorders>
              <w:top w:val="single" w:sz="4" w:color="BDC3C7"/>
              <w:bottom w:val="single" w:sz="4" w:color="BDC3C7"/>
              <w:left w:val="single" w:sz="4" w:color="BDC3C7"/>
              <w:right w:val="single" w:sz="4" w:color="BDC3C7"/>
            </w:tcBorders>
          </w:tcPr>
          <w:p>
            <w:r>
              <w:t>+4.44%</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Management disclosed a 'billion dollar run rate' for e-commerce in prior quarters but emphasized measured scaling in Q4 2025: 'We opened up the self-service platform, referral only. So we're not at the point yet where we</w:t>
            </w:r>
          </w:p>
        </w:tc>
      </w:tr>
      <w:tr>
        <w:tc>
          <w:tcPr>
            <w:tcW w:type="dxa" w:w="2448"/>
            <w:tcBorders>
              <w:top w:val="single" w:sz="4" w:color="BDC3C7"/>
              <w:bottom w:val="single" w:sz="4" w:color="BDC3C7"/>
              <w:left w:val="single" w:sz="4" w:color="BDC3C7"/>
              <w:right w:val="single" w:sz="4" w:color="BDC3C7"/>
            </w:tcBorders>
          </w:tcPr>
          <w:p>
            <w:r>
              <w:t xml:space="preserve">    market_share_expansion</w:t>
            </w:r>
          </w:p>
        </w:tc>
        <w:tc>
          <w:tcPr>
            <w:tcW w:type="dxa" w:w="2448"/>
            <w:tcBorders>
              <w:top w:val="single" w:sz="4" w:color="BDC3C7"/>
              <w:bottom w:val="single" w:sz="4" w:color="BDC3C7"/>
              <w:left w:val="single" w:sz="4" w:color="BDC3C7"/>
              <w:right w:val="single" w:sz="4" w:color="BDC3C7"/>
            </w:tcBorders>
          </w:tcPr>
          <w:p>
            <w:r>
              <w:t>+2.00%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Management noted in Q2 2025 that 'the max mediation platform is really high penetration into the market, so we're not going to be able to grow it particularly quickly by taking more mediation from other platforms at this</w:t>
            </w:r>
          </w:p>
        </w:tc>
      </w:tr>
    </w:tbl>
    <w:p>
      <w:pPr>
        <w:pStyle w:val="SubHeading"/>
      </w:pPr>
      <w:r>
        <w:t>Bear revisions:</w:t>
      </w:r>
    </w:p>
    <w:p>
      <w:pPr>
        <w:pStyle w:val="ListBullet"/>
      </w:pPr>
      <w:r>
        <w:t>revenue_growth.ecommerce_contribution: 7.4 → 4.0 — If bear research allegations about data dependency prove partially correct, e-commerce CPMs could prove unsustainable, reducing contribution to overall growth</w:t>
      </w:r>
    </w:p>
    <w:p>
      <w:pPr>
        <w:pStyle w:val="SubHeading"/>
      </w:pPr>
      <w:r>
        <w:t>Comp decomposition check:</w:t>
      </w:r>
    </w:p>
    <w:p>
      <w:pPr>
        <w:pStyle w:val="ListBullet"/>
      </w:pPr>
      <w:r>
        <w:t>Thin brief drivers (1 drivers / 3 components) on schema 'general'. The mechanical model and edge variant back-solve may be unreliable.</w:t>
      </w:r>
    </w:p>
    <w:p>
      <w:pPr>
        <w:pStyle w:val="ListBullet"/>
      </w:pPr>
      <w:r>
        <w:rPr>
          <w:i/>
        </w:rPr>
        <w:t>→ Research: Management explicitly acknowledges Q1 seasonality benefits from holiday periods while Q2 typically sees a lull. Q1 2026 guidance reflects 5-7% sequential growth with 84% EBITDA margins, and Q1 2025 benefited from seasonal strength. Historical data confirms Q1 outperformance pattern. (marketreportanalytics.com)</w:t>
      </w:r>
    </w:p>
    <w:p>
      <w:pPr>
        <w:pStyle w:val="PullQuote"/>
      </w:pPr>
      <w:r>
        <w:t>Counter: the analyst claims Software-like economics with ~88% gross margins provide stable, predictable cash generation — but Gross margins have been highly volatile (47.4% to 88.9% over 12 quarters) and the business model appears to still be evolving. The current margin level may not be sustainable, and the volatility suggests this is more of a cyclical advertising business than a stable software platform.</w:t>
      </w:r>
    </w:p>
    <w:p>
      <w:pPr>
        <w:pStyle w:val="SectionHeading"/>
      </w:pPr>
      <w:r>
        <w:t>3. Consensus Gap &amp; Valuation</w:t>
      </w:r>
    </w:p>
    <w:p>
      <w:r>
        <w:t>Our EPS: $14.42  =  baseline $15.82  +  Σ claim impacts $-1.40 (8.9% below consensus $15.82)</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$15.82</w:t>
            </w:r>
          </w:p>
        </w:tc>
      </w:tr>
      <w:tr>
        <w:tc>
          <w:tcPr>
            <w:tcW w:type="dxa" w:w="2448"/>
            <w:tcBorders>
              <w:top w:val="single" w:sz="4" w:color="BDC3C7"/>
              <w:bottom w:val="single" w:sz="4" w:color="BDC3C7"/>
              <w:left w:val="single" w:sz="4" w:color="BDC3C7"/>
              <w:right w:val="single" w:sz="4" w:color="BDC3C7"/>
            </w:tcBorders>
          </w:tcPr>
          <w:p>
            <w:r>
              <w:t>Revenue</w:t>
            </w:r>
          </w:p>
        </w:tc>
        <w:tc>
          <w:tcPr>
            <w:tcW w:type="dxa" w:w="2448"/>
            <w:tcBorders>
              <w:top w:val="single" w:sz="4" w:color="BDC3C7"/>
              <w:bottom w:val="single" w:sz="4" w:color="BDC3C7"/>
              <w:left w:val="single" w:sz="4" w:color="BDC3C7"/>
              <w:right w:val="single" w:sz="4" w:color="BDC3C7"/>
            </w:tcBorders>
          </w:tcPr>
          <w:p>
            <w:r>
              <w:t>Cons FY Rev</w:t>
              <w:br/>
              <w:t>$8.0B → $7.4B (Δ $-649M)</w:t>
            </w:r>
          </w:p>
        </w:tc>
        <w:tc>
          <w:tcPr>
            <w:tcW w:type="dxa" w:w="2448"/>
            <w:tcBorders>
              <w:top w:val="single" w:sz="4" w:color="BDC3C7"/>
              <w:bottom w:val="single" w:sz="4" w:color="BDC3C7"/>
              <w:left w:val="single" w:sz="4" w:color="BDC3C7"/>
              <w:right w:val="single" w:sz="4" w:color="BDC3C7"/>
            </w:tcBorders>
          </w:tcPr>
          <w:p>
            <w:r>
              <w:t>Revenue Δ $-649M × 85% incremental margin × 87% after-tax</w:t>
            </w:r>
          </w:p>
        </w:tc>
        <w:tc>
          <w:tcPr>
            <w:tcW w:type="dxa" w:w="2448"/>
            <w:tcBorders>
              <w:top w:val="single" w:sz="4" w:color="BDC3C7"/>
              <w:bottom w:val="single" w:sz="4" w:color="BDC3C7"/>
              <w:left w:val="single" w:sz="4" w:color="BDC3C7"/>
              <w:right w:val="single" w:sz="4" w:color="BDC3C7"/>
            </w:tcBorders>
          </w:tcPr>
          <w:p>
            <w:r>
              <w:t>-1.40  ⚠ Claude said -4.20</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-1.40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$14.42</w:t>
            </w:r>
          </w:p>
        </w:tc>
      </w:tr>
    </w:tbl>
    <w:p>
      <w:pPr>
        <w:pStyle w:val="PullQuote"/>
      </w:pPr>
      <w:r>
        <w:t xml:space="preserve">  ⚠ Claim impact mismatch on consensus_fy_revenue: Claude said $-4.20, flow-through computes $-1.40</w:t>
      </w:r>
    </w:p>
    <w:p>
      <w:r>
        <w:t>Our estimate is $1.40 (8.9%) below consensus $15.82. Primary driver: revenue_growth.ecommerce_contribution (ours +4.4 vs street +15.9, contributing $-1.380 to EPS variant, evidence: weak). Variant appears NOT fully priced in based on available market data. Next catalyst: Next quarterly earnings report (2026-05-06 (1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revenue_growth.ecommerce_contribution</w:t>
            </w:r>
          </w:p>
        </w:tc>
        <w:tc>
          <w:tcPr>
            <w:tcW w:type="dxa" w:w="1958"/>
            <w:tcBorders>
              <w:top w:val="single" w:sz="4" w:color="BDC3C7"/>
              <w:bottom w:val="single" w:sz="4" w:color="BDC3C7"/>
              <w:left w:val="single" w:sz="4" w:color="BDC3C7"/>
              <w:right w:val="single" w:sz="4" w:color="BDC3C7"/>
            </w:tcBorders>
          </w:tcPr>
          <w:p>
            <w:r>
              <w:t>+4.44</w:t>
            </w:r>
          </w:p>
        </w:tc>
        <w:tc>
          <w:tcPr>
            <w:tcW w:type="dxa" w:w="1958"/>
            <w:tcBorders>
              <w:top w:val="single" w:sz="4" w:color="BDC3C7"/>
              <w:bottom w:val="single" w:sz="4" w:color="BDC3C7"/>
              <w:left w:val="single" w:sz="4" w:color="BDC3C7"/>
              <w:right w:val="single" w:sz="4" w:color="BDC3C7"/>
            </w:tcBorders>
          </w:tcPr>
          <w:p>
            <w:r>
              <w:t>+15.94</w:t>
            </w:r>
          </w:p>
        </w:tc>
        <w:tc>
          <w:tcPr>
            <w:tcW w:type="dxa" w:w="1958"/>
            <w:tcBorders>
              <w:top w:val="single" w:sz="4" w:color="BDC3C7"/>
              <w:bottom w:val="single" w:sz="4" w:color="BDC3C7"/>
              <w:left w:val="single" w:sz="4" w:color="BDC3C7"/>
              <w:right w:val="single" w:sz="4" w:color="BDC3C7"/>
            </w:tcBorders>
          </w:tcPr>
          <w:p>
            <w:r>
              <w:t>-1.380</w:t>
            </w:r>
          </w:p>
        </w:tc>
        <w:tc>
          <w:tcPr>
            <w:tcW w:type="dxa" w:w="1958"/>
            <w:tcBorders>
              <w:top w:val="single" w:sz="4" w:color="BDC3C7"/>
              <w:bottom w:val="single" w:sz="4" w:color="BDC3C7"/>
              <w:left w:val="single" w:sz="4" w:color="BDC3C7"/>
              <w:right w:val="single" w:sz="4" w:color="BDC3C7"/>
            </w:tcBorders>
          </w:tcPr>
          <w:p>
            <w:r>
              <w:t>0.25</w:t>
            </w:r>
          </w:p>
        </w:tc>
      </w:tr>
      <w:tr>
        <w:tc>
          <w:tcPr>
            <w:tcW w:type="dxa" w:w="1958"/>
            <w:tcBorders>
              <w:top w:val="single" w:sz="4" w:color="BDC3C7"/>
              <w:bottom w:val="single" w:sz="4" w:color="BDC3C7"/>
              <w:left w:val="single" w:sz="4" w:color="BDC3C7"/>
              <w:right w:val="single" w:sz="4" w:color="BDC3C7"/>
            </w:tcBorders>
          </w:tcPr>
          <w:p>
            <w:r>
              <w:t>revenue_growth.market_share_expansion</w:t>
            </w:r>
          </w:p>
        </w:tc>
        <w:tc>
          <w:tcPr>
            <w:tcW w:type="dxa" w:w="1958"/>
            <w:tcBorders>
              <w:top w:val="single" w:sz="4" w:color="BDC3C7"/>
              <w:bottom w:val="single" w:sz="4" w:color="BDC3C7"/>
              <w:left w:val="single" w:sz="4" w:color="BDC3C7"/>
              <w:right w:val="single" w:sz="4" w:color="BDC3C7"/>
            </w:tcBorders>
          </w:tcPr>
          <w:p>
            <w:r>
              <w:t>+2.00</w:t>
            </w:r>
          </w:p>
        </w:tc>
        <w:tc>
          <w:tcPr>
            <w:tcW w:type="dxa" w:w="1958"/>
            <w:tcBorders>
              <w:top w:val="single" w:sz="4" w:color="BDC3C7"/>
              <w:bottom w:val="single" w:sz="4" w:color="BDC3C7"/>
              <w:left w:val="single" w:sz="4" w:color="BDC3C7"/>
              <w:right w:val="single" w:sz="4" w:color="BDC3C7"/>
            </w:tcBorders>
          </w:tcPr>
          <w:p>
            <w:r>
              <w:t>+13.50</w:t>
            </w:r>
          </w:p>
        </w:tc>
        <w:tc>
          <w:tcPr>
            <w:tcW w:type="dxa" w:w="1958"/>
            <w:tcBorders>
              <w:top w:val="single" w:sz="4" w:color="BDC3C7"/>
              <w:bottom w:val="single" w:sz="4" w:color="BDC3C7"/>
              <w:left w:val="single" w:sz="4" w:color="BDC3C7"/>
              <w:right w:val="single" w:sz="4" w:color="BDC3C7"/>
            </w:tcBorders>
          </w:tcPr>
          <w:p>
            <w:r>
              <w:t>-1.380</w:t>
            </w:r>
          </w:p>
        </w:tc>
        <w:tc>
          <w:tcPr>
            <w:tcW w:type="dxa" w:w="1958"/>
            <w:tcBorders>
              <w:top w:val="single" w:sz="4" w:color="BDC3C7"/>
              <w:bottom w:val="single" w:sz="4" w:color="BDC3C7"/>
              <w:left w:val="single" w:sz="4" w:color="BDC3C7"/>
              <w:right w:val="single" w:sz="4" w:color="BDC3C7"/>
            </w:tcBorders>
          </w:tcPr>
          <w:p>
            <w:r>
              <w:t>0.40</w:t>
            </w:r>
          </w:p>
        </w:tc>
      </w:tr>
      <w:tr>
        <w:tc>
          <w:tcPr>
            <w:tcW w:type="dxa" w:w="1958"/>
            <w:tcBorders>
              <w:top w:val="single" w:sz="4" w:color="BDC3C7"/>
              <w:bottom w:val="single" w:sz="4" w:color="BDC3C7"/>
              <w:left w:val="single" w:sz="4" w:color="BDC3C7"/>
              <w:right w:val="single" w:sz="4" w:color="BDC3C7"/>
            </w:tcBorders>
          </w:tcPr>
          <w:p>
            <w:r>
              <w:t>revenue_growth.gaming_advertising_growth</w:t>
            </w:r>
          </w:p>
        </w:tc>
        <w:tc>
          <w:tcPr>
            <w:tcW w:type="dxa" w:w="1958"/>
            <w:tcBorders>
              <w:top w:val="single" w:sz="4" w:color="BDC3C7"/>
              <w:bottom w:val="single" w:sz="4" w:color="BDC3C7"/>
              <w:left w:val="single" w:sz="4" w:color="BDC3C7"/>
              <w:right w:val="single" w:sz="4" w:color="BDC3C7"/>
            </w:tcBorders>
          </w:tcPr>
          <w:p>
            <w:r>
              <w:t>+25.00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0.50</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(-8.9%) exceeds implied move (9.6%)</w:t>
      </w:r>
    </w:p>
    <w:p>
      <w:r>
        <w:t>Edge verdict: PROBABLE_EDGE (score 0.079).</w:t>
      </w:r>
    </w:p>
    <w:p>
      <w:pPr>
        <w:pStyle w:val="PullQuote"/>
      </w:pPr>
      <w:r>
        <w:t>Counter: the analyst claims Consensus expectations appear too optimistic based on management's cautious approach — but Management succession planning (CTO and CLO departures) combined with significant insider selling ($9.5M director sale) suggests management may be more concerned about business trajectory than their public communications indicate. The 'cautious approach' may reflect deeper structural problems rather than conservative guidance.</w:t>
      </w:r>
    </w:p>
    <w:p>
      <w:pPr>
        <w:pStyle w:val="SectionHeading"/>
      </w:pPr>
      <w:r>
        <w:t>4. Catalysts</w:t>
      </w:r>
    </w:p>
    <w:p>
      <w:pPr>
        <w:pStyle w:val="ListBullet"/>
      </w:pPr>
      <w:r>
        <w:t>Next quarterly earnings report (2026-05-06 (1 days)) — resolves revenue + margins + guidance; confirms or challenges</w:t>
      </w:r>
    </w:p>
    <w:p>
      <w:pPr>
        <w:pStyle w:val="ListBullet"/>
      </w:pPr>
      <w:r>
        <w:t>Resolution: E-commerce will drive sustained 40%+ revenue growth (Resolves at earnings (2026-05-06)) — resolves revenue_growth; confirms or challenges</w:t>
      </w:r>
    </w:p>
    <w:p>
      <w:pPr>
        <w:pStyle w:val="ListBullet"/>
      </w:pPr>
      <w:r>
        <w:t>Resolution: Competitive moats are unassailable (Resolves at earnings (2026-05-06)) — resolves revenue_growth; confirms or challenges</w:t>
      </w:r>
    </w:p>
    <w:p>
      <w:pPr>
        <w:pStyle w:val="ListBullet"/>
      </w:pPr>
      <w:r>
        <w:t>Resolution: Analyst blind spot (Multi-year thesis -- patience required) — resolves general; confirms or challenges</w:t>
      </w:r>
    </w:p>
    <w:p>
      <w:pPr>
        <w:pStyle w:val="ListBullet"/>
      </w:pPr>
      <w:r>
        <w:t>Specific e-commerce revenue contribution and growth trajectory (Unknown timing) — resolves multiple; resolves uncertainty</w:t>
      </w:r>
    </w:p>
    <w:p>
      <w:pPr>
        <w:pStyle w:val="ListBullet"/>
      </w:pPr>
      <w:r>
        <w:t>Impact of Meta's increased bidding activity on take rates (Unknown timing) — resolves multiple; resolves uncertainty</w:t>
      </w:r>
    </w:p>
    <w:p>
      <w:pPr>
        <w:pStyle w:val="SectionHeading"/>
      </w:pPr>
      <w:r>
        <w:t>5. Risks, Blind Spots &amp; Kill Criteria</w:t>
      </w:r>
    </w:p>
    <w:p>
      <w:pPr>
        <w:pStyle w:val="SubHeading"/>
      </w:pPr>
      <w:r>
        <w:t>Top risks:</w:t>
      </w:r>
    </w:p>
    <w:p>
      <w:pPr>
        <w:pStyle w:val="ListBullet"/>
      </w:pPr>
      <w:r>
        <w:t>E-commerce will drive sustained 40%+ revenue growth — counter: Management explicitly stated 'referral only' launch and 'we're not at the point yet where we're sort of a GA-type launch' for self-service platform, indicating measured scaling approach rather than aggressive expansion [serious]</w:t>
      </w:r>
    </w:p>
    <w:p>
      <w:pPr>
        <w:pStyle w:val="ListBullet"/>
      </w:pPr>
      <w:r>
        <w:t>Q1 2026 guidance seasonality patterns suggest consensus FY2026 revenue of $8.05B is 8-12% too high — counter: Q1 2026 guidance of $1,745-1,775M represents only 5.6% sequential growth vs Q4 2025's $1,658M, which is dramatically lower than the 11.0% Q1/Q4 sequential growth seen in 2024 ($1,058M vs $953M). This actually suggests Q1 is weaker than seasonal patterns, not that full-year consensus is too high. Source: filing Q1 2026 guidance vs quarterly financials table [serious]</w:t>
      </w:r>
    </w:p>
    <w:p>
      <w:pPr>
        <w:pStyle w:val="ListBullet"/>
      </w:pPr>
      <w:r>
        <w:t>AppLovin operates a clean mobile advertising platform connecting advertisers with publishers — counter: Multiple short-seller reports (Fuzzy Panda, Culper Research) allege ad fraud, illegal tracking of children, serving inappropriate ads to kids, and manipulative app install tactics. Former employees allegedly described the AI story as built on 'Ad Fraud.' Source: bear research section [serious]</w:t>
      </w:r>
    </w:p>
    <w:p>
      <w:pPr>
        <w:pStyle w:val="SubHeading"/>
      </w:pPr>
      <w:r>
        <w:t>Blind spots (auditor-independent):</w:t>
      </w:r>
    </w:p>
    <w:p>
      <w:pPr>
        <w:pStyle w:val="ListBullet"/>
      </w:pPr>
      <w:r>
        <w:t>Regulatory risk from children's privacy violations - multiple jurisdictions are cracking down on child data collection and inappropriate ad targeting</w:t>
      </w:r>
    </w:p>
    <w:p>
      <w:pPr>
        <w:pStyle w:val="ListBullet"/>
      </w:pPr>
      <w:r>
        <w:t>Reputation risk from ad fraud allegations could impact advertiser relationships and platform trust</w:t>
      </w:r>
    </w:p>
    <w:p>
      <w:pPr>
        <w:pStyle w:val="ListBullet"/>
      </w:pPr>
      <w:r>
        <w:t>Executive transition risk - CTO and Chief Legal Officer both leaving within months, with CLO retiring amid regulatory scrutiny timing</w:t>
      </w:r>
    </w:p>
    <w:p>
      <w:pPr>
        <w:pStyle w:val="KillCriteria"/>
      </w:pPr>
      <w:r>
        <w:t>What would change our mind: Print on revenue_growth.ecommerce_contribution comes in above our +4.4 figure (toward street +15.9) in the next 1-2 prints.</w:t>
      </w:r>
    </w:p>
    <w:p>
      <w:pPr>
        <w:pStyle w:val="SectionHeading"/>
      </w:pPr>
      <w:r>
        <w:t>Appendix</w:t>
      </w:r>
    </w:p>
    <w:p>
      <w:pPr>
        <w:pStyle w:val="SubHeading"/>
      </w:pPr>
      <w:r>
        <w:t>Business context:</w:t>
      </w:r>
    </w:p>
    <w:p>
      <w:r>
        <w:t>AppLovin operates a mobile advertising platform that connects advertisers with mobile game publishers through its MAX mediation platform and Axon bidding engine. The company generates revenue by taking a percentage of advertising transactions, with ~88% gross margins reflecting its software-like economics.</w:t>
      </w:r>
    </w:p>
    <w:p>
      <w:pPr>
        <w:pStyle w:val="SubHeading"/>
      </w:pPr>
      <w:r>
        <w:t>Evidence gaps (research TODO):</w:t>
      </w:r>
    </w:p>
    <w:p>
      <w:pPr>
        <w:pStyle w:val="ListBullet"/>
      </w:pPr>
      <w:r>
        <w:t>Specific e-commerce revenue contribution and growth trajectory</w:t>
      </w:r>
    </w:p>
    <w:p>
      <w:pPr>
        <w:pStyle w:val="ListBullet"/>
      </w:pPr>
      <w:r>
        <w:t>Impact of Meta's increased bidding activity on take rates</w:t>
      </w:r>
    </w:p>
    <w:p>
      <w:pPr>
        <w:pStyle w:val="ListBullet"/>
      </w:pPr>
      <w:r>
        <w:t>Quantified response to bear research operational allegations</w:t>
      </w:r>
    </w:p>
    <w:p>
      <w:pPr>
        <w:pStyle w:val="ListBullet"/>
      </w:pPr>
      <w:r>
        <w:t>Annual guidance or longer-term growth framework from management</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