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AXON — AXON</w:t>
      </w:r>
    </w:p>
    <w:p>
      <w:pPr>
        <w:pStyle w:val="SmallMeta"/>
      </w:pPr>
      <w:r>
        <w:t>As of 2026-05-14  |  Schema: general  |  Data: polygon+alpha_vantage (FY2025)</w:t>
      </w:r>
    </w:p>
    <w:p>
      <w:pPr>
        <w:pStyle w:val="SubHeading"/>
      </w:pPr>
      <w:r>
        <w:rPr>
          <w:color w:val="8C1D40"/>
        </w:rPr>
        <w:t>Direction: LONG | Current: $388.19</w:t>
      </w:r>
    </w:p>
    <w:p>
      <w:pPr>
        <w:pStyle w:val="SubHeading"/>
      </w:pPr>
      <w:r>
        <w:t>Summary</w:t>
      </w:r>
    </w:p>
    <w:p>
      <w:pPr>
        <w:pStyle w:val="ListBullet"/>
      </w:pPr>
      <w:r>
        <w:t>Thesis: Consensus FY2026 revenue of $3.656B appears achievable but margin expectations may be too optimistic given accelerating tariff headwinds and platform solutions mix shift.</w:t>
      </w:r>
    </w:p>
    <w:p>
      <w:pPr>
        <w:pStyle w:val="ListBullet"/>
      </w:pPr>
      <w:r>
        <w:t>Next catalyst: Next quarterly earnings report (2026-08-03 (81 days))</w:t>
      </w:r>
    </w:p>
    <w:p>
      <w:pPr>
        <w:pStyle w:val="ListBullet"/>
      </w:pPr>
      <w:r>
        <w:t>Top risk: Analyst focuses on tariff pressures as primary margin risk</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Schema mismatch: peer comps fit 'industrials' but the brief picked 'general'. The mechanical model will use generic defaults; final EPS may be unreliable.</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Thin brief drivers (1 drivers / 2 components) on schema 'general'. The mechanical model and edge variant back-solve may be unreliable.</w:t>
            </w:r>
          </w:p>
        </w:tc>
      </w:tr>
    </w:tbl>
    <w:p>
      <w:pPr>
        <w:pStyle w:val="SectionHeading"/>
      </w:pPr>
      <w:r>
        <w:t>Street Consensus</w:t>
      </w:r>
    </w:p>
    <w:tbl>
      <w:tblPr>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shd w:val="clear" w:color="auto" w:fill="E8EDF5"/>
            <w:tcBorders>
              <w:top w:val="single" w:sz="4" w:color="BDC3C7"/>
              <w:bottom w:val="single" w:sz="4" w:color="BDC3C7"/>
              <w:left w:val="single" w:sz="4" w:color="BDC3C7"/>
              <w:right w:val="single" w:sz="4" w:color="BDC3C7"/>
            </w:tcBorders>
          </w:tcPr>
          <w:p>
            <w:r>
              <w:rPr>
                <w:b/>
              </w:rPr>
              <w:t>Period</w:t>
            </w:r>
          </w:p>
        </w:tc>
        <w:tc>
          <w:tcPr>
            <w:tcW w:type="dxa" w:w="1399"/>
            <w:shd w:val="clear" w:color="auto" w:fill="E8EDF5"/>
            <w:tcBorders>
              <w:top w:val="single" w:sz="4" w:color="BDC3C7"/>
              <w:bottom w:val="single" w:sz="4" w:color="BDC3C7"/>
              <w:left w:val="single" w:sz="4" w:color="BDC3C7"/>
              <w:right w:val="single" w:sz="4" w:color="BDC3C7"/>
            </w:tcBorders>
          </w:tcPr>
          <w:p>
            <w:r>
              <w:rPr>
                <w:b/>
              </w:rPr>
              <w:t>EPS (mean)</w:t>
            </w:r>
          </w:p>
        </w:tc>
        <w:tc>
          <w:tcPr>
            <w:tcW w:type="dxa" w:w="1399"/>
            <w:shd w:val="clear" w:color="auto" w:fill="E8EDF5"/>
            <w:tcBorders>
              <w:top w:val="single" w:sz="4" w:color="BDC3C7"/>
              <w:bottom w:val="single" w:sz="4" w:color="BDC3C7"/>
              <w:left w:val="single" w:sz="4" w:color="BDC3C7"/>
              <w:right w:val="single" w:sz="4" w:color="BDC3C7"/>
            </w:tcBorders>
          </w:tcPr>
          <w:p>
            <w:r>
              <w:rPr>
                <w:b/>
              </w:rPr>
              <w:t>Range</w:t>
            </w:r>
          </w:p>
        </w:tc>
        <w:tc>
          <w:tcPr>
            <w:tcW w:type="dxa" w:w="1399"/>
            <w:shd w:val="clear" w:color="auto" w:fill="E8EDF5"/>
            <w:tcBorders>
              <w:top w:val="single" w:sz="4" w:color="BDC3C7"/>
              <w:bottom w:val="single" w:sz="4" w:color="BDC3C7"/>
              <w:left w:val="single" w:sz="4" w:color="BDC3C7"/>
              <w:right w:val="single" w:sz="4" w:color="BDC3C7"/>
            </w:tcBorders>
          </w:tcPr>
          <w:p>
            <w:r>
              <w:rPr>
                <w:b/>
              </w:rPr>
              <w:t>n</w:t>
            </w:r>
          </w:p>
        </w:tc>
        <w:tc>
          <w:tcPr>
            <w:tcW w:type="dxa" w:w="1399"/>
            <w:shd w:val="clear" w:color="auto" w:fill="E8EDF5"/>
            <w:tcBorders>
              <w:top w:val="single" w:sz="4" w:color="BDC3C7"/>
              <w:bottom w:val="single" w:sz="4" w:color="BDC3C7"/>
              <w:left w:val="single" w:sz="4" w:color="BDC3C7"/>
              <w:right w:val="single" w:sz="4" w:color="BDC3C7"/>
            </w:tcBorders>
          </w:tcPr>
          <w:p>
            <w:r>
              <w:rPr>
                <w:b/>
              </w:rPr>
              <w:t>YoY</w:t>
            </w:r>
          </w:p>
        </w:tc>
        <w:tc>
          <w:tcPr>
            <w:tcW w:type="dxa" w:w="1399"/>
            <w:shd w:val="clear" w:color="auto" w:fill="E8EDF5"/>
            <w:tcBorders>
              <w:top w:val="single" w:sz="4" w:color="BDC3C7"/>
              <w:bottom w:val="single" w:sz="4" w:color="BDC3C7"/>
              <w:left w:val="single" w:sz="4" w:color="BDC3C7"/>
              <w:right w:val="single" w:sz="4" w:color="BDC3C7"/>
            </w:tcBorders>
          </w:tcPr>
          <w:p>
            <w:r>
              <w:rPr>
                <w:b/>
              </w:rPr>
              <w:t>30d Δ</w:t>
            </w:r>
          </w:p>
        </w:tc>
        <w:tc>
          <w:tcPr>
            <w:tcW w:type="dxa" w:w="1399"/>
            <w:shd w:val="clear" w:color="auto" w:fill="E8EDF5"/>
            <w:tcBorders>
              <w:top w:val="single" w:sz="4" w:color="BDC3C7"/>
              <w:bottom w:val="single" w:sz="4" w:color="BDC3C7"/>
              <w:left w:val="single" w:sz="4" w:color="BDC3C7"/>
              <w:right w:val="single" w:sz="4" w:color="BDC3C7"/>
            </w:tcBorders>
          </w:tcPr>
          <w:p>
            <w:r>
              <w:rPr>
                <w:b/>
              </w:rPr>
              <w:t>Revs 30d</w:t>
            </w:r>
          </w:p>
        </w:tc>
      </w:tr>
      <w:tr>
        <w:tc>
          <w:tcPr>
            <w:tcW w:type="dxa" w:w="1399"/>
            <w:tcBorders>
              <w:top w:val="single" w:sz="4" w:color="BDC3C7"/>
              <w:bottom w:val="single" w:sz="4" w:color="BDC3C7"/>
              <w:left w:val="single" w:sz="4" w:color="BDC3C7"/>
              <w:right w:val="single" w:sz="4" w:color="BDC3C7"/>
            </w:tcBorders>
          </w:tcPr>
          <w:p>
            <w:r>
              <w:t>Current Quarter</w:t>
            </w:r>
          </w:p>
        </w:tc>
        <w:tc>
          <w:tcPr>
            <w:tcW w:type="dxa" w:w="1399"/>
            <w:tcBorders>
              <w:top w:val="single" w:sz="4" w:color="BDC3C7"/>
              <w:bottom w:val="single" w:sz="4" w:color="BDC3C7"/>
              <w:left w:val="single" w:sz="4" w:color="BDC3C7"/>
              <w:right w:val="single" w:sz="4" w:color="BDC3C7"/>
            </w:tcBorders>
          </w:tcPr>
          <w:p>
            <w:r>
              <w:t>$1.83</w:t>
            </w:r>
          </w:p>
        </w:tc>
        <w:tc>
          <w:tcPr>
            <w:tcW w:type="dxa" w:w="1399"/>
            <w:tcBorders>
              <w:top w:val="single" w:sz="4" w:color="BDC3C7"/>
              <w:bottom w:val="single" w:sz="4" w:color="BDC3C7"/>
              <w:left w:val="single" w:sz="4" w:color="BDC3C7"/>
              <w:right w:val="single" w:sz="4" w:color="BDC3C7"/>
            </w:tcBorders>
          </w:tcPr>
          <w:p>
            <w:r>
              <w:t>$1.53 – $2.18</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-13.9%</w:t>
            </w:r>
          </w:p>
        </w:tc>
        <w:tc>
          <w:tcPr>
            <w:tcW w:type="dxa" w:w="1399"/>
            <w:tcBorders>
              <w:top w:val="single" w:sz="4" w:color="BDC3C7"/>
              <w:bottom w:val="single" w:sz="4" w:color="BDC3C7"/>
              <w:left w:val="single" w:sz="4" w:color="BDC3C7"/>
              <w:right w:val="single" w:sz="4" w:color="BDC3C7"/>
            </w:tcBorders>
          </w:tcPr>
          <w:p>
            <w:r>
              <w:t>↑ +0.012</w:t>
            </w:r>
          </w:p>
        </w:tc>
        <w:tc>
          <w:tcPr>
            <w:tcW w:type="dxa" w:w="1399"/>
            <w:tcBorders>
              <w:top w:val="single" w:sz="4" w:color="BDC3C7"/>
              <w:bottom w:val="single" w:sz="4" w:color="BDC3C7"/>
              <w:left w:val="single" w:sz="4" w:color="BDC3C7"/>
              <w:right w:val="single" w:sz="4" w:color="BDC3C7"/>
            </w:tcBorders>
          </w:tcPr>
          <w:p>
            <w:r>
              <w:t>↑10 / ↓8</w:t>
            </w:r>
          </w:p>
        </w:tc>
      </w:tr>
      <w:tr>
        <w:tc>
          <w:tcPr>
            <w:tcW w:type="dxa" w:w="1399"/>
            <w:tcBorders>
              <w:top w:val="single" w:sz="4" w:color="BDC3C7"/>
              <w:bottom w:val="single" w:sz="4" w:color="BDC3C7"/>
              <w:left w:val="single" w:sz="4" w:color="BDC3C7"/>
              <w:right w:val="single" w:sz="4" w:color="BDC3C7"/>
            </w:tcBorders>
          </w:tcPr>
          <w:p>
            <w:r>
              <w:t>Next Quarter</w:t>
            </w:r>
          </w:p>
        </w:tc>
        <w:tc>
          <w:tcPr>
            <w:tcW w:type="dxa" w:w="1399"/>
            <w:tcBorders>
              <w:top w:val="single" w:sz="4" w:color="BDC3C7"/>
              <w:bottom w:val="single" w:sz="4" w:color="BDC3C7"/>
              <w:left w:val="single" w:sz="4" w:color="BDC3C7"/>
              <w:right w:val="single" w:sz="4" w:color="BDC3C7"/>
            </w:tcBorders>
          </w:tcPr>
          <w:p>
            <w:r>
              <w:t>$2.02</w:t>
            </w:r>
          </w:p>
        </w:tc>
        <w:tc>
          <w:tcPr>
            <w:tcW w:type="dxa" w:w="1399"/>
            <w:tcBorders>
              <w:top w:val="single" w:sz="4" w:color="BDC3C7"/>
              <w:bottom w:val="single" w:sz="4" w:color="BDC3C7"/>
              <w:left w:val="single" w:sz="4" w:color="BDC3C7"/>
              <w:right w:val="single" w:sz="4" w:color="BDC3C7"/>
            </w:tcBorders>
          </w:tcPr>
          <w:p>
            <w:r>
              <w:t>$1.70 – $2.45</w:t>
            </w:r>
          </w:p>
        </w:tc>
        <w:tc>
          <w:tcPr>
            <w:tcW w:type="dxa" w:w="1399"/>
            <w:tcBorders>
              <w:top w:val="single" w:sz="4" w:color="BDC3C7"/>
              <w:bottom w:val="single" w:sz="4" w:color="BDC3C7"/>
              <w:left w:val="single" w:sz="4" w:color="BDC3C7"/>
              <w:right w:val="single" w:sz="4" w:color="BDC3C7"/>
            </w:tcBorders>
          </w:tcPr>
          <w:p>
            <w:r>
              <w:t>18</w:t>
            </w:r>
          </w:p>
        </w:tc>
        <w:tc>
          <w:tcPr>
            <w:tcW w:type="dxa" w:w="1399"/>
            <w:tcBorders>
              <w:top w:val="single" w:sz="4" w:color="BDC3C7"/>
              <w:bottom w:val="single" w:sz="4" w:color="BDC3C7"/>
              <w:left w:val="single" w:sz="4" w:color="BDC3C7"/>
              <w:right w:val="single" w:sz="4" w:color="BDC3C7"/>
            </w:tcBorders>
          </w:tcPr>
          <w:p>
            <w:r>
              <w:t>+72.5%</w:t>
            </w:r>
          </w:p>
        </w:tc>
        <w:tc>
          <w:tcPr>
            <w:tcW w:type="dxa" w:w="1399"/>
            <w:tcBorders>
              <w:top w:val="single" w:sz="4" w:color="BDC3C7"/>
              <w:bottom w:val="single" w:sz="4" w:color="BDC3C7"/>
              <w:left w:val="single" w:sz="4" w:color="BDC3C7"/>
              <w:right w:val="single" w:sz="4" w:color="BDC3C7"/>
            </w:tcBorders>
          </w:tcPr>
          <w:p>
            <w:r>
              <w:t>↓ -0.016</w:t>
            </w:r>
          </w:p>
        </w:tc>
        <w:tc>
          <w:tcPr>
            <w:tcW w:type="dxa" w:w="1399"/>
            <w:tcBorders>
              <w:top w:val="single" w:sz="4" w:color="BDC3C7"/>
              <w:bottom w:val="single" w:sz="4" w:color="BDC3C7"/>
              <w:left w:val="single" w:sz="4" w:color="BDC3C7"/>
              <w:right w:val="single" w:sz="4" w:color="BDC3C7"/>
            </w:tcBorders>
          </w:tcPr>
          <w:p>
            <w:r>
              <w:t>↑8 / ↓9</w:t>
            </w:r>
          </w:p>
        </w:tc>
      </w:tr>
      <w:tr>
        <w:tc>
          <w:tcPr>
            <w:tcW w:type="dxa" w:w="1399"/>
            <w:tcBorders>
              <w:top w:val="single" w:sz="4" w:color="BDC3C7"/>
              <w:bottom w:val="single" w:sz="4" w:color="BDC3C7"/>
              <w:left w:val="single" w:sz="4" w:color="BDC3C7"/>
              <w:right w:val="single" w:sz="4" w:color="BDC3C7"/>
            </w:tcBorders>
          </w:tcPr>
          <w:p>
            <w:r>
              <w:t>Current Fiscal Year</w:t>
            </w:r>
          </w:p>
        </w:tc>
        <w:tc>
          <w:tcPr>
            <w:tcW w:type="dxa" w:w="1399"/>
            <w:tcBorders>
              <w:top w:val="single" w:sz="4" w:color="BDC3C7"/>
              <w:bottom w:val="single" w:sz="4" w:color="BDC3C7"/>
              <w:left w:val="single" w:sz="4" w:color="BDC3C7"/>
              <w:right w:val="single" w:sz="4" w:color="BDC3C7"/>
            </w:tcBorders>
          </w:tcPr>
          <w:p>
            <w:r>
              <w:t>$7.69</w:t>
            </w:r>
          </w:p>
        </w:tc>
        <w:tc>
          <w:tcPr>
            <w:tcW w:type="dxa" w:w="1399"/>
            <w:tcBorders>
              <w:top w:val="single" w:sz="4" w:color="BDC3C7"/>
              <w:bottom w:val="single" w:sz="4" w:color="BDC3C7"/>
              <w:left w:val="single" w:sz="4" w:color="BDC3C7"/>
              <w:right w:val="single" w:sz="4" w:color="BDC3C7"/>
            </w:tcBorders>
          </w:tcPr>
          <w:p>
            <w:r>
              <w:t>$6.70 – $9.39</w:t>
            </w:r>
          </w:p>
        </w:tc>
        <w:tc>
          <w:tcPr>
            <w:tcW w:type="dxa" w:w="1399"/>
            <w:tcBorders>
              <w:top w:val="single" w:sz="4" w:color="BDC3C7"/>
              <w:bottom w:val="single" w:sz="4" w:color="BDC3C7"/>
              <w:left w:val="single" w:sz="4" w:color="BDC3C7"/>
              <w:right w:val="single" w:sz="4" w:color="BDC3C7"/>
            </w:tcBorders>
          </w:tcPr>
          <w:p>
            <w:r>
              <w:t>20</w:t>
            </w:r>
          </w:p>
        </w:tc>
        <w:tc>
          <w:tcPr>
            <w:tcW w:type="dxa" w:w="1399"/>
            <w:tcBorders>
              <w:top w:val="single" w:sz="4" w:color="BDC3C7"/>
              <w:bottom w:val="single" w:sz="4" w:color="BDC3C7"/>
              <w:left w:val="single" w:sz="4" w:color="BDC3C7"/>
              <w:right w:val="single" w:sz="4" w:color="BDC3C7"/>
            </w:tcBorders>
          </w:tcPr>
          <w:p>
            <w:r>
              <w:t>+12.2%</w:t>
            </w:r>
          </w:p>
        </w:tc>
        <w:tc>
          <w:tcPr>
            <w:tcW w:type="dxa" w:w="1399"/>
            <w:tcBorders>
              <w:top w:val="single" w:sz="4" w:color="BDC3C7"/>
              <w:bottom w:val="single" w:sz="4" w:color="BDC3C7"/>
              <w:left w:val="single" w:sz="4" w:color="BDC3C7"/>
              <w:right w:val="single" w:sz="4" w:color="BDC3C7"/>
            </w:tcBorders>
          </w:tcPr>
          <w:p>
            <w:r>
              <w:t>↓ -0.097</w:t>
            </w:r>
          </w:p>
        </w:tc>
        <w:tc>
          <w:tcPr>
            <w:tcW w:type="dxa" w:w="1399"/>
            <w:tcBorders>
              <w:top w:val="single" w:sz="4" w:color="BDC3C7"/>
              <w:bottom w:val="single" w:sz="4" w:color="BDC3C7"/>
              <w:left w:val="single" w:sz="4" w:color="BDC3C7"/>
              <w:right w:val="single" w:sz="4" w:color="BDC3C7"/>
            </w:tcBorders>
          </w:tcPr>
          <w:p>
            <w:r>
              <w:t>↑10 / ↓9</w:t>
            </w:r>
          </w:p>
        </w:tc>
      </w:tr>
      <w:tr>
        <w:tc>
          <w:tcPr>
            <w:tcW w:type="dxa" w:w="1399"/>
            <w:tcBorders>
              <w:top w:val="single" w:sz="4" w:color="BDC3C7"/>
              <w:bottom w:val="single" w:sz="4" w:color="BDC3C7"/>
              <w:left w:val="single" w:sz="4" w:color="BDC3C7"/>
              <w:right w:val="single" w:sz="4" w:color="BDC3C7"/>
            </w:tcBorders>
          </w:tcPr>
          <w:p>
            <w:r>
              <w:t>Next Fiscal Year</w:t>
            </w:r>
          </w:p>
        </w:tc>
        <w:tc>
          <w:tcPr>
            <w:tcW w:type="dxa" w:w="1399"/>
            <w:tcBorders>
              <w:top w:val="single" w:sz="4" w:color="BDC3C7"/>
              <w:bottom w:val="single" w:sz="4" w:color="BDC3C7"/>
              <w:left w:val="single" w:sz="4" w:color="BDC3C7"/>
              <w:right w:val="single" w:sz="4" w:color="BDC3C7"/>
            </w:tcBorders>
          </w:tcPr>
          <w:p>
            <w:r>
              <w:t>$10.57</w:t>
            </w:r>
          </w:p>
        </w:tc>
        <w:tc>
          <w:tcPr>
            <w:tcW w:type="dxa" w:w="1399"/>
            <w:tcBorders>
              <w:top w:val="single" w:sz="4" w:color="BDC3C7"/>
              <w:bottom w:val="single" w:sz="4" w:color="BDC3C7"/>
              <w:left w:val="single" w:sz="4" w:color="BDC3C7"/>
              <w:right w:val="single" w:sz="4" w:color="BDC3C7"/>
            </w:tcBorders>
          </w:tcPr>
          <w:p>
            <w:r>
              <w:t>$9.22 – $12.71</w:t>
            </w:r>
          </w:p>
        </w:tc>
        <w:tc>
          <w:tcPr>
            <w:tcW w:type="dxa" w:w="1399"/>
            <w:tcBorders>
              <w:top w:val="single" w:sz="4" w:color="BDC3C7"/>
              <w:bottom w:val="single" w:sz="4" w:color="BDC3C7"/>
              <w:left w:val="single" w:sz="4" w:color="BDC3C7"/>
              <w:right w:val="single" w:sz="4" w:color="BDC3C7"/>
            </w:tcBorders>
          </w:tcPr>
          <w:p>
            <w:r>
              <w:t>20</w:t>
            </w:r>
          </w:p>
        </w:tc>
        <w:tc>
          <w:tcPr>
            <w:tcW w:type="dxa" w:w="1399"/>
            <w:tcBorders>
              <w:top w:val="single" w:sz="4" w:color="BDC3C7"/>
              <w:bottom w:val="single" w:sz="4" w:color="BDC3C7"/>
              <w:left w:val="single" w:sz="4" w:color="BDC3C7"/>
              <w:right w:val="single" w:sz="4" w:color="BDC3C7"/>
            </w:tcBorders>
          </w:tcPr>
          <w:p>
            <w:r>
              <w:t>+37.5%</w:t>
            </w:r>
          </w:p>
        </w:tc>
        <w:tc>
          <w:tcPr>
            <w:tcW w:type="dxa" w:w="1399"/>
            <w:tcBorders>
              <w:top w:val="single" w:sz="4" w:color="BDC3C7"/>
              <w:bottom w:val="single" w:sz="4" w:color="BDC3C7"/>
              <w:left w:val="single" w:sz="4" w:color="BDC3C7"/>
              <w:right w:val="single" w:sz="4" w:color="BDC3C7"/>
            </w:tcBorders>
          </w:tcPr>
          <w:p>
            <w:r>
              <w:t>≈ +0.004</w:t>
            </w:r>
          </w:p>
        </w:tc>
        <w:tc>
          <w:tcPr>
            <w:tcW w:type="dxa" w:w="1399"/>
            <w:tcBorders>
              <w:top w:val="single" w:sz="4" w:color="BDC3C7"/>
              <w:bottom w:val="single" w:sz="4" w:color="BDC3C7"/>
              <w:left w:val="single" w:sz="4" w:color="BDC3C7"/>
              <w:right w:val="single" w:sz="4" w:color="BDC3C7"/>
            </w:tcBorders>
          </w:tcPr>
          <w:p>
            <w:r>
              <w:t>↑12 / ↓6</w:t>
            </w:r>
          </w:p>
        </w:tc>
      </w:tr>
    </w:tbl>
    <w:p>
      <w:r>
        <w:t>Revenue consensus: Q $0.88B (+31.1%)  |  Q+1 $0.94B (+31.9%)  |  FY $3.66B (+31.5%)  |  FY+1 $4.73B (+29.3%)</w:t>
      </w:r>
    </w:p>
    <w:p>
      <w:r>
        <w:t>Price targets: Mean $662.04  |  Median $675.00  |  Range $409.68–$825.00  |  Current $388.19 (+70.5% to mean)</w:t>
      </w:r>
    </w:p>
    <w:p>
      <w:r>
        <w:t>Analyst ratings (n=20): Strong Buy 8 · Buy 10 · Hold 2 · Sell 0 · Strong Sell 0  ·  90% bullish</w:t>
      </w:r>
    </w:p>
    <w:p>
      <w:r>
        <w:t>Next earnings: 2026-08-03 (81d out)  ·  EPS $1.83 ($1.53–$2.18)  ·  Rev $0.88B</w:t>
      </w:r>
    </w:p>
    <w:p>
      <w:pPr>
        <w:pStyle w:val="SectionHeading"/>
      </w:pPr>
      <w:r>
        <w:t>1. Research Synthesis</w:t>
      </w:r>
    </w:p>
    <w:p>
      <w:r>
        <w:t>Axon delivered another strong quarter with Q1 2026 revenue of $807 million, up 33.7% year-over-year, marking the ninth consecutive quarter of 30%+ growth. The performance was broad-based across all segments, with Software Services growing 35% to $355 million and Connected Devices up 33% to $453 million. Management raised full-year revenue guidance to 30-32% growth, implying $3.62-3.68B for FY2026, which aligns closely with consensus expectations of $3.656B.</w:t>
      </w:r>
    </w:p>
    <w:p>
      <w:pPr>
        <w:pStyle w:val="ListBullet"/>
      </w:pPr>
      <w:r>
        <w:rPr>
          <w:i/>
        </w:rPr>
        <w:t>→ Research [UPDATES]: Official Axon IR confirms Q1 2026 revenue of $807 million, but reports 34% YoY growth, not 33.7% as stated in brief. Revenue figure is correct; growth rate differs by 0.3 percentage points. (axon.com)</w:t>
      </w:r>
    </w:p>
    <w:p>
      <w:r>
        <w:t>The revenue trajectory appears sustainable based on several key indicators. Annual recurring revenue reached $1.5 billion, growing 35% year-over-year, while net revenue retention remained strong at 125%. The AI Era Plan continues gaining traction with AI product revenue up over 700% year-over-year (albeit from a small base), and management noted that 'nearly all large domestic law enforcement agencies are now including AI in their purchases.' Counter-drone products also showed explosive growth with revenue up over 300% year-over-year, driven by both hardware and software components.</w:t>
      </w:r>
    </w:p>
    <w:p>
      <w:pPr>
        <w:pStyle w:val="PullQuote"/>
      </w:pPr>
      <w:r>
        <w:t>Counter: the analyst claims Consensus FY2026 revenue of $3.656B appears achievable but margin expectations may be too optimistic — but The revenue target itself may be at risk. Q1 2026 achieved $807M (implying $3.2B annual run rate) but required 1.3% Q/Q growth to get there. To hit $3.656B target requires acceleration to 3.5%+ Q/Q for remaining quarters, which contradicts the sequential deceleration pattern already emerging.</w:t>
      </w:r>
    </w:p>
    <w:p>
      <w:pPr>
        <w:pStyle w:val="ListBullet"/>
      </w:pPr>
      <w:r>
        <w:rPr>
          <w:i/>
        </w:rPr>
        <w:t>→ Research confirms: Axon's Q1 2026 earnings report directly confirms the claim: ARR reached $1.5 billion with 35% year-over-year growth, exactly matching the verbatim statement from the brief. (axon.com)</w:t>
      </w:r>
    </w:p>
    <w:p>
      <w:pPr>
        <w:pStyle w:val="ListBullet"/>
      </w:pPr>
      <w:r>
        <w:rPr>
          <w:i/>
        </w:rPr>
        <w:t>→ Research: Search confirms competitive dynamics in law enforcement tech are real and material. Motorola Solutions is AXON's strongest rival in municipal contracts; competitors pressure pricing through bundled offerings and discounted rates. AXON faces margin compression from competitive bidding and shorter contract lengths, validating the missing_angle thesis on pricing power erosion. (matrixbcg.com)</w:t>
      </w:r>
    </w:p>
    <w:p>
      <w:r>
        <w:t>However, margin dynamics present a more complex picture that consensus may be underestimating. Adjusted gross margin of 59.1% in Q1 2026 represents a sequential increase from Q4 2025's 57.9%, though this comparison is complicated by typical Q1 seasonality. More concerning is the year-over-year trajectory: Q1 2025 gross margin was 60.6%, meaning the current quarter shows 150 basis points of year-over-year compression. Management attributed this primarily to tariff impacts and product mix shifts toward platform solutions.</w:t>
      </w:r>
    </w:p>
    <w:p>
      <w:pPr>
        <w:pStyle w:val="ListBullet"/>
      </w:pPr>
      <w:r>
        <w:rPr>
          <w:i/>
        </w:rPr>
        <w:t>→ Research [CONTRADICTS]: Axon's Q1 2026 total company gross margin was 59.1%, but this represents a 120 basis point sequential increase from Q4 2025's 57.9% on a GAAP basis. However, the brief claims adjusted gross margin of 59.1%, when actual adjusted gross margin was 61.6% in Q1 2026 (up 50 bps sequentially from Q4 2025's 61.1%). (axon.com)</w:t>
      </w:r>
    </w:p>
    <w:p>
      <w:r>
        <w:t>The tariff headwind is accelerating and may be more persistent than street models assume. In the Q3 2025 call, CFO Brittany Bagley noted tariffs were 'impacting us for the first full quarter' with gross margin down 50 basis points year-over-year 'primarily due to tariffs.' By Q1 2026, this pressure appears to have intensified. Management's guidance incorporates 'continued tariffs, inflationary component costs inclusive of memory, and product mix shift from continued platform solutions growth,' but the cumulative impact may exceed their 25.5% adjusted EBITDA margin target.</w:t>
      </w:r>
    </w:p>
    <w:p>
      <w:r>
        <w:t>The platform solutions mix shift represents a structural margin headwind that's accelerating. Platform solutions revenue grew 95% year-over-year in Q1 2026 to $111 million, following 81% growth in Q4 2025. While management noted these products 'overall has lower margins than Taser and personal sensors,' the rapid growth means this lower-margin business is becoming a larger portion of the mix. At current growth rates, platform solutions could represent 15-20% of total revenue by year-end, creating meaningful margin dilution.</w:t>
      </w:r>
    </w:p>
    <w:p>
      <w:pPr>
        <w:pStyle w:val="ListBullet"/>
      </w:pPr>
      <w:r>
        <w:rPr>
          <w:i/>
        </w:rPr>
        <w:t>→ Research confirms: Axon's official Q1 2026 earnings release confirms Platform Solutions revenue of $111 million with 95% year-over-year growth, exactly matching the verbatim claim. (axon.com)</w:t>
      </w:r>
    </w:p>
    <w:p>
      <w:r>
        <w:t>Operating leverage dynamics also warrant scrutiny. Despite 34% revenue growth in Q1 2026, operating income of $29 million represents only 3.6% operating margin, up from essentially breakeven in prior quarters but still well below the implied margins needed to achieve full-year EBITDA targets. The company continues heavy R&amp;D investment at 24.6% of revenue ($684.3M annually based on FY2025 actuals), which management indicated will continue as they 'prioritize investing behind the incredible product roadmap.'</w:t>
      </w:r>
    </w:p>
    <w:p>
      <w:pPr>
        <w:pStyle w:val="ListBullet"/>
      </w:pPr>
      <w:r>
        <w:rPr>
          <w:i/>
        </w:rPr>
        <w:t>→ Research confirms: Axon invested $684.3M in R&amp;D during FY2025, confirmed by financial data. The 24.6% percentage is accurate based on full-year 2025 revenue of approximately $2.74B ($684.3M ÷ $2.74B = 24.98%, rounds to ~25%). Quarterly R&amp;D ranged 24.3–24.9% of revenue throughout 2025. (stocktitan.net)</w:t>
      </w:r>
    </w:p>
    <w:p>
      <w:r>
        <w:t>Management's confidence in maintaining 25.5% adjusted EBITDA margins for FY2026 appears increasingly challenged by these structural headwinds. In the Q1 2026 call, they noted expecting 'operating leverage in the second half of the year, allowing us to hit that annual target,' but this assumes the tariff and mix pressures don't accelerate further. The guidance also assumes no additional price increases to customers, with management stating 'we are not planning any price increases to our customers at this point.'</w:t>
      </w:r>
    </w:p>
    <w:p>
      <w:r>
        <w:t>Free cash flow guidance provides another lens on margin sustainability. Management expects approximately $450 million in free cash flow for FY2026, which on $3.65B revenue implies roughly 12% free cash flow margins. This is achievable but requires the operating leverage they're projecting to materialize in the back half of the year.</w:t>
      </w:r>
    </w:p>
    <w:p>
      <w:r>
        <w:t>The international expansion story remains compelling but faces execution risks. International revenue was up over 100% year-over-year in Q1 2026, representing 20% of quarterly revenue. Management highlighted progress in Europe with 'large European cloud deployments coupled with connected devices,' and CEO Rick Smith noted seeing 'some of the smaller countries looking at going all in on a national basis.' However, this growth comes with integration costs and potentially different margin profiles than domestic business.</w:t>
      </w:r>
    </w:p>
    <w:p>
      <w:r>
        <w:t>Looking at insider activity, there has been significant selling across the executive team over the past 180 days, with President Joshua Isner selling $30.6M (19% of his stake), CEO Patrick Smith selling $22.3M, and other executives reducing positions. While this could reflect normal diversification, the magnitude and breadth of selling across leadership suggests some profit-taking at current levels.</w:t>
      </w:r>
    </w:p>
    <w:p>
      <w:pPr>
        <w:pStyle w:val="ListBullet"/>
      </w:pPr>
      <w:r>
        <w:rPr>
          <w:i/>
        </w:rPr>
        <w:t>→ Research [CONTRADICTS]: Search results show Joshua Isner is President (not identified with specific $30.6M sale in results), and Patrick Smith is CEO. Recent filings document multiple smaller sales by both executives under Rule 10b5-1 plans, not the specific $30.6M and $22.3M figures cited in the brief. Largest recent Isner sale found was $11.05M (Dec 2025); largest recent Smith sale was $68.2M (Sept 2024), but no single (gurufocus.com)</w:t>
      </w:r>
    </w:p>
    <w:p>
      <w:pPr>
        <w:pStyle w:val="ListBullet"/>
      </w:pPr>
      <w:r>
        <w:rPr>
          <w:i/>
        </w:rPr>
        <w:t>→ Research: AXON has 80-82% institutional ownership dominated by passive index funds (Vanguard 11%, BlackRock 9-11%, State Street 4%), not hedge funds. Recent 13F activity shows 246 institutions opened positions and 128 closed positions this quarter, with some funds increasing stakes. Hedge funds hold no meaningful position. (yahoo.com)</w:t>
      </w:r>
    </w:p>
    <w:p>
      <w:r>
        <w:t>The bear case centers on margin compression overwhelming revenue growth. If tariffs continue escalating and platform solutions maintain 90%+ growth rates, adjusted EBITDA margins could fall below the 25.5% guidance, potentially reaching 24-24.5% range. On $3.65B revenue, this would represent $35-55M of EBITDA miss relative to guidance, flowing through to meaningful EPS shortfall given the company's current tax structure.</w:t>
      </w:r>
    </w:p>
    <w:p>
      <w:pPr>
        <w:pStyle w:val="ListBullet"/>
      </w:pPr>
      <w:r>
        <w:rPr>
          <w:i/>
        </w:rPr>
        <w:t>→ Research: Search confirms municipal budget pressure on law enforcement during recessions and identifies AXON's long-term contracts as a specific budget strain. Federal law enforcement funding cuts in 2025–2026 add pressure on local agencies, though broader municipal police budget trends remain mixed. (policerecordsmanagement.com)</w:t>
      </w:r>
    </w:p>
    <w:p>
      <w:pPr>
        <w:pStyle w:val="SubHeading"/>
      </w:pPr>
      <w:r>
        <w:t>Published anchors (reference):</w:t>
      </w:r>
    </w:p>
    <w:tbl>
      <w:tblPr>
        <w:tblW w:type="auto" w:w="0"/>
        <w:tblLook w:firstColumn="1" w:firstRow="1" w:lastColumn="0" w:lastRow="0" w:noHBand="0" w:noVBand="1" w:val="04A0"/>
      </w:tblPr>
      <w:tblGrid>
        <w:gridCol w:w="3264"/>
        <w:gridCol w:w="3264"/>
        <w:gridCol w:w="3264"/>
      </w:tblGrid>
      <w:tr>
        <w:tc>
          <w:tcPr>
            <w:tcW w:type="dxa" w:w="3264"/>
            <w:shd w:val="clear" w:color="auto" w:fill="E8EDF5"/>
            <w:tcBorders>
              <w:top w:val="single" w:sz="4" w:color="BDC3C7"/>
              <w:bottom w:val="single" w:sz="4" w:color="BDC3C7"/>
              <w:left w:val="single" w:sz="4" w:color="BDC3C7"/>
              <w:right w:val="single" w:sz="4" w:color="BDC3C7"/>
            </w:tcBorders>
          </w:tcPr>
          <w:p>
            <w:r>
              <w:rPr>
                <w:b/>
              </w:rPr>
              <w:t>Period</w:t>
            </w:r>
          </w:p>
        </w:tc>
        <w:tc>
          <w:tcPr>
            <w:tcW w:type="dxa" w:w="3264"/>
            <w:shd w:val="clear" w:color="auto" w:fill="E8EDF5"/>
            <w:tcBorders>
              <w:top w:val="single" w:sz="4" w:color="BDC3C7"/>
              <w:bottom w:val="single" w:sz="4" w:color="BDC3C7"/>
              <w:left w:val="single" w:sz="4" w:color="BDC3C7"/>
              <w:right w:val="single" w:sz="4" w:color="BDC3C7"/>
            </w:tcBorders>
          </w:tcPr>
          <w:p>
            <w:r>
              <w:rPr>
                <w:b/>
              </w:rPr>
              <w:t>EPS</w:t>
            </w:r>
          </w:p>
        </w:tc>
        <w:tc>
          <w:tcPr>
            <w:tcW w:type="dxa" w:w="3264"/>
            <w:shd w:val="clear" w:color="auto" w:fill="E8EDF5"/>
            <w:tcBorders>
              <w:top w:val="single" w:sz="4" w:color="BDC3C7"/>
              <w:bottom w:val="single" w:sz="4" w:color="BDC3C7"/>
              <w:left w:val="single" w:sz="4" w:color="BDC3C7"/>
              <w:right w:val="single" w:sz="4" w:color="BDC3C7"/>
            </w:tcBorders>
          </w:tcPr>
          <w:p>
            <w:r>
              <w:rPr>
                <w:b/>
              </w:rPr>
              <w:t>Revenue</w:t>
            </w:r>
          </w:p>
        </w:tc>
      </w:tr>
      <w:tr>
        <w:tc>
          <w:tcPr>
            <w:tcW w:type="dxa" w:w="3264"/>
            <w:tcBorders>
              <w:top w:val="single" w:sz="4" w:color="BDC3C7"/>
              <w:bottom w:val="single" w:sz="4" w:color="BDC3C7"/>
              <w:left w:val="single" w:sz="4" w:color="BDC3C7"/>
              <w:right w:val="single" w:sz="4" w:color="BDC3C7"/>
            </w:tcBorders>
          </w:tcPr>
          <w:p>
            <w:r>
              <w:t>Current Q</w:t>
            </w:r>
          </w:p>
        </w:tc>
        <w:tc>
          <w:tcPr>
            <w:tcW w:type="dxa" w:w="3264"/>
            <w:tcBorders>
              <w:top w:val="single" w:sz="4" w:color="BDC3C7"/>
              <w:bottom w:val="single" w:sz="4" w:color="BDC3C7"/>
              <w:left w:val="single" w:sz="4" w:color="BDC3C7"/>
              <w:right w:val="single" w:sz="4" w:color="BDC3C7"/>
            </w:tcBorders>
          </w:tcPr>
          <w:p>
            <w:r>
              <w:t>$1.83</w:t>
            </w:r>
          </w:p>
        </w:tc>
        <w:tc>
          <w:tcPr>
            <w:tcW w:type="dxa" w:w="3264"/>
            <w:tcBorders>
              <w:top w:val="single" w:sz="4" w:color="BDC3C7"/>
              <w:bottom w:val="single" w:sz="4" w:color="BDC3C7"/>
              <w:left w:val="single" w:sz="4" w:color="BDC3C7"/>
              <w:right w:val="single" w:sz="4" w:color="BDC3C7"/>
            </w:tcBorders>
          </w:tcPr>
          <w:p>
            <w:r>
              <w:t>$876M</w:t>
            </w:r>
          </w:p>
        </w:tc>
      </w:tr>
      <w:tr>
        <w:tc>
          <w:tcPr>
            <w:tcW w:type="dxa" w:w="3264"/>
            <w:tcBorders>
              <w:top w:val="single" w:sz="4" w:color="BDC3C7"/>
              <w:bottom w:val="single" w:sz="4" w:color="BDC3C7"/>
              <w:left w:val="single" w:sz="4" w:color="BDC3C7"/>
              <w:right w:val="single" w:sz="4" w:color="BDC3C7"/>
            </w:tcBorders>
          </w:tcPr>
          <w:p>
            <w:r>
              <w:t>Next Q</w:t>
            </w:r>
          </w:p>
        </w:tc>
        <w:tc>
          <w:tcPr>
            <w:tcW w:type="dxa" w:w="3264"/>
            <w:tcBorders>
              <w:top w:val="single" w:sz="4" w:color="BDC3C7"/>
              <w:bottom w:val="single" w:sz="4" w:color="BDC3C7"/>
              <w:left w:val="single" w:sz="4" w:color="BDC3C7"/>
              <w:right w:val="single" w:sz="4" w:color="BDC3C7"/>
            </w:tcBorders>
          </w:tcPr>
          <w:p>
            <w:r>
              <w:t>$2.02</w:t>
            </w:r>
          </w:p>
        </w:tc>
        <w:tc>
          <w:tcPr>
            <w:tcW w:type="dxa" w:w="3264"/>
            <w:tcBorders>
              <w:top w:val="single" w:sz="4" w:color="BDC3C7"/>
              <w:bottom w:val="single" w:sz="4" w:color="BDC3C7"/>
              <w:left w:val="single" w:sz="4" w:color="BDC3C7"/>
              <w:right w:val="single" w:sz="4" w:color="BDC3C7"/>
            </w:tcBorders>
          </w:tcPr>
          <w:p>
            <w:r>
              <w:t>$938M</w:t>
            </w:r>
          </w:p>
        </w:tc>
      </w:tr>
      <w:tr>
        <w:tc>
          <w:tcPr>
            <w:tcW w:type="dxa" w:w="3264"/>
            <w:tcBorders>
              <w:top w:val="single" w:sz="4" w:color="BDC3C7"/>
              <w:bottom w:val="single" w:sz="4" w:color="BDC3C7"/>
              <w:left w:val="single" w:sz="4" w:color="BDC3C7"/>
              <w:right w:val="single" w:sz="4" w:color="BDC3C7"/>
            </w:tcBorders>
          </w:tcPr>
          <w:p>
            <w:r>
              <w:t>Current FY</w:t>
            </w:r>
          </w:p>
        </w:tc>
        <w:tc>
          <w:tcPr>
            <w:tcW w:type="dxa" w:w="3264"/>
            <w:tcBorders>
              <w:top w:val="single" w:sz="4" w:color="BDC3C7"/>
              <w:bottom w:val="single" w:sz="4" w:color="BDC3C7"/>
              <w:left w:val="single" w:sz="4" w:color="BDC3C7"/>
              <w:right w:val="single" w:sz="4" w:color="BDC3C7"/>
            </w:tcBorders>
          </w:tcPr>
          <w:p>
            <w:r>
              <w:t>$7.69</w:t>
            </w:r>
          </w:p>
        </w:tc>
        <w:tc>
          <w:tcPr>
            <w:tcW w:type="dxa" w:w="3264"/>
            <w:tcBorders>
              <w:top w:val="single" w:sz="4" w:color="BDC3C7"/>
              <w:bottom w:val="single" w:sz="4" w:color="BDC3C7"/>
              <w:left w:val="single" w:sz="4" w:color="BDC3C7"/>
              <w:right w:val="single" w:sz="4" w:color="BDC3C7"/>
            </w:tcBorders>
          </w:tcPr>
          <w:p>
            <w:r>
              <w:t>$3,656M</w:t>
            </w:r>
          </w:p>
        </w:tc>
      </w:tr>
      <w:tr>
        <w:tc>
          <w:tcPr>
            <w:tcW w:type="dxa" w:w="3264"/>
            <w:tcBorders>
              <w:top w:val="single" w:sz="4" w:color="BDC3C7"/>
              <w:bottom w:val="single" w:sz="4" w:color="BDC3C7"/>
              <w:left w:val="single" w:sz="4" w:color="BDC3C7"/>
              <w:right w:val="single" w:sz="4" w:color="BDC3C7"/>
            </w:tcBorders>
          </w:tcPr>
          <w:p>
            <w:r>
              <w:t>Next FY</w:t>
            </w:r>
          </w:p>
        </w:tc>
        <w:tc>
          <w:tcPr>
            <w:tcW w:type="dxa" w:w="3264"/>
            <w:tcBorders>
              <w:top w:val="single" w:sz="4" w:color="BDC3C7"/>
              <w:bottom w:val="single" w:sz="4" w:color="BDC3C7"/>
              <w:left w:val="single" w:sz="4" w:color="BDC3C7"/>
              <w:right w:val="single" w:sz="4" w:color="BDC3C7"/>
            </w:tcBorders>
          </w:tcPr>
          <w:p>
            <w:r>
              <w:t>$10.57</w:t>
            </w:r>
          </w:p>
        </w:tc>
        <w:tc>
          <w:tcPr>
            <w:tcW w:type="dxa" w:w="3264"/>
            <w:tcBorders>
              <w:top w:val="single" w:sz="4" w:color="BDC3C7"/>
              <w:bottom w:val="single" w:sz="4" w:color="BDC3C7"/>
              <w:left w:val="single" w:sz="4" w:color="BDC3C7"/>
              <w:right w:val="single" w:sz="4" w:color="BDC3C7"/>
            </w:tcBorders>
          </w:tcPr>
          <w:p>
            <w:r>
              <w:t>$4,726M</w:t>
            </w:r>
          </w:p>
        </w:tc>
      </w:tr>
    </w:tbl>
    <w:p>
      <w:pPr>
        <w:pStyle w:val="SubHeading"/>
      </w:pPr>
      <w:r>
        <w:t>Management guidance:</w:t>
      </w:r>
    </w:p>
    <w:p>
      <w:pPr>
        <w:pStyle w:val="ListBullet"/>
      </w:pPr>
      <w:r>
        <w:t>CapEx (FY2026): $160 m  — Q2 2026 PR (2026-05-06)</w:t>
      </w:r>
    </w:p>
    <w:p>
      <w:pPr>
        <w:pStyle w:val="PullQuote"/>
      </w:pPr>
      <w:r>
        <w:t>No structured edge claims survived validation (1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revenue_growth</w:t>
            </w:r>
          </w:p>
        </w:tc>
        <w:tc>
          <w:tcPr>
            <w:tcW w:type="dxa" w:w="2448"/>
            <w:tcBorders>
              <w:top w:val="single" w:sz="4" w:color="BDC3C7"/>
              <w:bottom w:val="single" w:sz="4" w:color="BDC3C7"/>
              <w:left w:val="single" w:sz="4" w:color="BDC3C7"/>
              <w:right w:val="single" w:sz="4" w:color="BDC3C7"/>
            </w:tcBorders>
          </w:tcPr>
          <w:p>
            <w:r>
              <w:rPr>
                <w:b/>
              </w:rPr>
              <w:t>+53.00%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software_services_growth</w:t>
            </w:r>
          </w:p>
        </w:tc>
        <w:tc>
          <w:tcPr>
            <w:tcW w:type="dxa" w:w="2448"/>
            <w:tcBorders>
              <w:top w:val="single" w:sz="4" w:color="BDC3C7"/>
              <w:bottom w:val="single" w:sz="4" w:color="BDC3C7"/>
              <w:left w:val="single" w:sz="4" w:color="BDC3C7"/>
              <w:right w:val="single" w:sz="4" w:color="BDC3C7"/>
            </w:tcBorders>
          </w:tcPr>
          <w:p>
            <w:r>
              <w:t>+25.00%</w:t>
            </w:r>
          </w:p>
        </w:tc>
        <w:tc>
          <w:tcPr>
            <w:tcW w:type="dxa" w:w="2448"/>
            <w:tcBorders>
              <w:top w:val="single" w:sz="4" w:color="BDC3C7"/>
              <w:bottom w:val="single" w:sz="4" w:color="BDC3C7"/>
              <w:left w:val="single" w:sz="4" w:color="BDC3C7"/>
              <w:right w:val="single" w:sz="4" w:color="BDC3C7"/>
            </w:tcBorders>
          </w:tcPr>
          <w:p>
            <w:r>
              <w:t>0.70</w:t>
            </w:r>
          </w:p>
        </w:tc>
        <w:tc>
          <w:tcPr>
            <w:tcW w:type="dxa" w:w="2448"/>
            <w:tcBorders>
              <w:top w:val="single" w:sz="4" w:color="BDC3C7"/>
              <w:bottom w:val="single" w:sz="4" w:color="BDC3C7"/>
              <w:left w:val="single" w:sz="4" w:color="BDC3C7"/>
              <w:right w:val="single" w:sz="4" w:color="BDC3C7"/>
            </w:tcBorders>
          </w:tcPr>
          <w:p>
            <w:r>
              <w:t>In the Q1 2026 call, management reported Software Services revenue of $355 million, up 35% year-over-year, with strong net revenue retention of 125% and ARR growth of 35% to $1.5 billion. AI product revenue grew over 700</w:t>
            </w:r>
          </w:p>
        </w:tc>
      </w:tr>
      <w:tr>
        <w:tc>
          <w:tcPr>
            <w:tcW w:type="dxa" w:w="2448"/>
            <w:tcBorders>
              <w:top w:val="single" w:sz="4" w:color="BDC3C7"/>
              <w:bottom w:val="single" w:sz="4" w:color="BDC3C7"/>
              <w:left w:val="single" w:sz="4" w:color="BDC3C7"/>
              <w:right w:val="single" w:sz="4" w:color="BDC3C7"/>
            </w:tcBorders>
          </w:tcPr>
          <w:p>
            <w:r>
              <w:t xml:space="preserve">    connected_devices_growth</w:t>
            </w:r>
          </w:p>
        </w:tc>
        <w:tc>
          <w:tcPr>
            <w:tcW w:type="dxa" w:w="2448"/>
            <w:tcBorders>
              <w:top w:val="single" w:sz="4" w:color="BDC3C7"/>
              <w:bottom w:val="single" w:sz="4" w:color="BDC3C7"/>
              <w:left w:val="single" w:sz="4" w:color="BDC3C7"/>
              <w:right w:val="single" w:sz="4" w:color="BDC3C7"/>
            </w:tcBorders>
          </w:tcPr>
          <w:p>
            <w:r>
              <w:t>+28.00%</w:t>
            </w:r>
          </w:p>
        </w:tc>
        <w:tc>
          <w:tcPr>
            <w:tcW w:type="dxa" w:w="2448"/>
            <w:tcBorders>
              <w:top w:val="single" w:sz="4" w:color="BDC3C7"/>
              <w:bottom w:val="single" w:sz="4" w:color="BDC3C7"/>
              <w:left w:val="single" w:sz="4" w:color="BDC3C7"/>
              <w:right w:val="single" w:sz="4" w:color="BDC3C7"/>
            </w:tcBorders>
          </w:tcPr>
          <w:p>
            <w:r>
              <w:t>0.65</w:t>
            </w:r>
          </w:p>
        </w:tc>
        <w:tc>
          <w:tcPr>
            <w:tcW w:type="dxa" w:w="2448"/>
            <w:tcBorders>
              <w:top w:val="single" w:sz="4" w:color="BDC3C7"/>
              <w:bottom w:val="single" w:sz="4" w:color="BDC3C7"/>
              <w:left w:val="single" w:sz="4" w:color="BDC3C7"/>
              <w:right w:val="single" w:sz="4" w:color="BDC3C7"/>
            </w:tcBorders>
          </w:tcPr>
          <w:p>
            <w:r>
              <w:t>Connected Devices grew 33% to $453 million in Q1 2026, driven by TASER 10 and Axon Body 4 demand plus platform solutions growth of 95%. Management highlighted strong international traction with revenue up over 100% year-</w:t>
            </w:r>
          </w:p>
        </w:tc>
      </w:tr>
    </w:tbl>
    <w:p>
      <w:pPr>
        <w:pStyle w:val="SubHeading"/>
      </w:pPr>
      <w:r>
        <w:t>Bear revisions:</w:t>
      </w:r>
    </w:p>
    <w:p>
      <w:pPr>
        <w:pStyle w:val="ListBullet"/>
      </w:pPr>
      <w:r>
        <w:t>revenue_growth.software_services_growth: 32.0 → 25.0 — Municipal budget constraints could pressure software renewals and new AI Era Plan adoption if economic conditions deteriorate, particularly given high current penetration rates among large agencies.</w:t>
      </w:r>
    </w:p>
    <w:p>
      <w:pPr>
        <w:pStyle w:val="SubHeading"/>
      </w:pPr>
      <w:r>
        <w:t>Comp decomposition check:</w:t>
      </w:r>
    </w:p>
    <w:p>
      <w:pPr>
        <w:pStyle w:val="ListBullet"/>
      </w:pPr>
      <w:r>
        <w:t>Schema mismatch: peer comps fit 'industrials' but the brief picked 'general'. The mechanical model will use generic defaults; final EPS may be unreliable.</w:t>
      </w:r>
    </w:p>
    <w:p>
      <w:pPr>
        <w:pStyle w:val="ListBullet"/>
      </w:pPr>
      <w:r>
        <w:t>Thin brief drivers (1 drivers / 2 components) on schema 'general'. The mechanical model and edge variant back-solve may be unreliable.</w:t>
      </w:r>
    </w:p>
    <w:p>
      <w:pPr>
        <w:pStyle w:val="PullQuote"/>
      </w:pPr>
      <w:r>
        <w:t>Counter: the analyst claims Software services growth of 32% and connected devices growth of 28% are sustainable — but The growth is increasingly driven by Platform Solutions (95% growth) which represents lower-margin, project-based revenue rather than recurring software subscriptions. This creates a quality-of-growth issue where headline numbers mask deteriorating unit economics.</w:t>
      </w:r>
    </w:p>
    <w:p>
      <w:pPr>
        <w:pStyle w:val="SectionHeading"/>
      </w:pPr>
      <w:r>
        <w:t>3. Consensus Gap &amp; Valuation</w:t>
      </w:r>
    </w:p>
    <w:p>
      <w:r>
        <w:t>Our EPS: $7.69  =  baseline $7.69  +  Σ claim impacts $+0.00 (0.0% below consensus $7.69)</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FY consensus revenue;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$7.69</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$7.69</w:t>
            </w:r>
          </w:p>
        </w:tc>
      </w:tr>
    </w:tbl>
    <w:p>
      <w:pPr>
        <w:pStyle w:val="PullQuote"/>
      </w:pPr>
      <w:r>
        <w:t xml:space="preserve">  ⚠ No edge claims; our EPS matches baseline (consensus).</w:t>
      </w:r>
    </w:p>
    <w:p>
      <w:r>
        <w:t>Our estimate is $0.00 (0.0%) below consensus $7.69. No single driver within plausible bounds can close the gap to consensus when other drivers are held at our values; the EPS variant is diffuse (top magnitude: revenue_growth.software_services_growth). Variant appears within market noise -- may already be priced in. Next catalyst: Next quarterly earnings report (2026-08-03 (81 days)). Time horizon: swing.</w:t>
      </w:r>
    </w:p>
    <w:tbl>
      <w:tblPr>
        <w:tblW w:type="auto" w:w="0"/>
        <w:tblLook w:firstColumn="1" w:firstRow="1" w:lastColumn="0" w:lastRow="0" w:noHBand="0" w:noVBand="1" w:val="04A0"/>
      </w:tblPr>
      <w:tblGrid>
        <w:gridCol w:w="1958"/>
        <w:gridCol w:w="1958"/>
        <w:gridCol w:w="1958"/>
        <w:gridCol w:w="1958"/>
        <w:gridCol w:w="1958"/>
      </w:tblGrid>
      <w:tr>
        <w:tc>
          <w:tcPr>
            <w:tcW w:type="dxa" w:w="1958"/>
            <w:shd w:val="clear" w:color="auto" w:fill="E8EDF5"/>
            <w:tcBorders>
              <w:top w:val="single" w:sz="4" w:color="BDC3C7"/>
              <w:bottom w:val="single" w:sz="4" w:color="BDC3C7"/>
              <w:left w:val="single" w:sz="4" w:color="BDC3C7"/>
              <w:right w:val="single" w:sz="4" w:color="BDC3C7"/>
            </w:tcBorders>
          </w:tcPr>
          <w:p>
            <w:r>
              <w:rPr>
                <w:b/>
              </w:rPr>
              <w:t>Driver</w:t>
            </w:r>
          </w:p>
        </w:tc>
        <w:tc>
          <w:tcPr>
            <w:tcW w:type="dxa" w:w="1958"/>
            <w:shd w:val="clear" w:color="auto" w:fill="E8EDF5"/>
            <w:tcBorders>
              <w:top w:val="single" w:sz="4" w:color="BDC3C7"/>
              <w:bottom w:val="single" w:sz="4" w:color="BDC3C7"/>
              <w:left w:val="single" w:sz="4" w:color="BDC3C7"/>
              <w:right w:val="single" w:sz="4" w:color="BDC3C7"/>
            </w:tcBorders>
          </w:tcPr>
          <w:p>
            <w:r>
              <w:rPr>
                <w:b/>
              </w:rPr>
              <w:t>Ours</w:t>
            </w:r>
          </w:p>
        </w:tc>
        <w:tc>
          <w:tcPr>
            <w:tcW w:type="dxa" w:w="1958"/>
            <w:shd w:val="clear" w:color="auto" w:fill="E8EDF5"/>
            <w:tcBorders>
              <w:top w:val="single" w:sz="4" w:color="BDC3C7"/>
              <w:bottom w:val="single" w:sz="4" w:color="BDC3C7"/>
              <w:left w:val="single" w:sz="4" w:color="BDC3C7"/>
              <w:right w:val="single" w:sz="4" w:color="BDC3C7"/>
            </w:tcBorders>
          </w:tcPr>
          <w:p>
            <w:r>
              <w:rPr>
                <w:b/>
              </w:rPr>
              <w:t>Street</w:t>
            </w:r>
          </w:p>
        </w:tc>
        <w:tc>
          <w:tcPr>
            <w:tcW w:type="dxa" w:w="1958"/>
            <w:shd w:val="clear" w:color="auto" w:fill="E8EDF5"/>
            <w:tcBorders>
              <w:top w:val="single" w:sz="4" w:color="BDC3C7"/>
              <w:bottom w:val="single" w:sz="4" w:color="BDC3C7"/>
              <w:left w:val="single" w:sz="4" w:color="BDC3C7"/>
              <w:right w:val="single" w:sz="4" w:color="BDC3C7"/>
            </w:tcBorders>
          </w:tcPr>
          <w:p>
            <w:r>
              <w:rPr>
                <w:b/>
              </w:rPr>
              <w:t>Δ EPS</w:t>
            </w:r>
          </w:p>
        </w:tc>
        <w:tc>
          <w:tcPr>
            <w:tcW w:type="dxa" w:w="1958"/>
            <w:shd w:val="clear" w:color="auto" w:fill="E8EDF5"/>
            <w:tcBorders>
              <w:top w:val="single" w:sz="4" w:color="BDC3C7"/>
              <w:bottom w:val="single" w:sz="4" w:color="BDC3C7"/>
              <w:left w:val="single" w:sz="4" w:color="BDC3C7"/>
              <w:right w:val="single" w:sz="4" w:color="BDC3C7"/>
            </w:tcBorders>
          </w:tcPr>
          <w:p>
            <w:r>
              <w:rPr>
                <w:b/>
              </w:rPr>
              <w:t>Conf.</w:t>
            </w:r>
          </w:p>
        </w:tc>
      </w:tr>
      <w:tr>
        <w:tc>
          <w:tcPr>
            <w:tcW w:type="dxa" w:w="1958"/>
            <w:tcBorders>
              <w:top w:val="single" w:sz="4" w:color="BDC3C7"/>
              <w:bottom w:val="single" w:sz="4" w:color="BDC3C7"/>
              <w:left w:val="single" w:sz="4" w:color="BDC3C7"/>
              <w:right w:val="single" w:sz="4" w:color="BDC3C7"/>
            </w:tcBorders>
          </w:tcPr>
          <w:p>
            <w:r>
              <w:t>revenue_growth.software_services_growth</w:t>
            </w:r>
          </w:p>
        </w:tc>
        <w:tc>
          <w:tcPr>
            <w:tcW w:type="dxa" w:w="1958"/>
            <w:tcBorders>
              <w:top w:val="single" w:sz="4" w:color="BDC3C7"/>
              <w:bottom w:val="single" w:sz="4" w:color="BDC3C7"/>
              <w:left w:val="single" w:sz="4" w:color="BDC3C7"/>
              <w:right w:val="single" w:sz="4" w:color="BDC3C7"/>
            </w:tcBorders>
          </w:tcPr>
          <w:p>
            <w:r>
              <w:t>+25.00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0.65</w:t>
            </w:r>
          </w:p>
        </w:tc>
      </w:tr>
      <w:tr>
        <w:tc>
          <w:tcPr>
            <w:tcW w:type="dxa" w:w="1958"/>
            <w:tcBorders>
              <w:top w:val="single" w:sz="4" w:color="BDC3C7"/>
              <w:bottom w:val="single" w:sz="4" w:color="BDC3C7"/>
              <w:left w:val="single" w:sz="4" w:color="BDC3C7"/>
              <w:right w:val="single" w:sz="4" w:color="BDC3C7"/>
            </w:tcBorders>
          </w:tcPr>
          <w:p>
            <w:r>
              <w:t>revenue_growth.connected_devices_growth</w:t>
            </w:r>
          </w:p>
        </w:tc>
        <w:tc>
          <w:tcPr>
            <w:tcW w:type="dxa" w:w="1958"/>
            <w:tcBorders>
              <w:top w:val="single" w:sz="4" w:color="BDC3C7"/>
              <w:bottom w:val="single" w:sz="4" w:color="BDC3C7"/>
              <w:left w:val="single" w:sz="4" w:color="BDC3C7"/>
              <w:right w:val="single" w:sz="4" w:color="BDC3C7"/>
            </w:tcBorders>
          </w:tcPr>
          <w:p>
            <w:r>
              <w:t>+28.00</w:t>
            </w:r>
          </w:p>
        </w:tc>
        <w:tc>
          <w:tcPr>
            <w:tcW w:type="dxa" w:w="1958"/>
            <w:tcBorders>
              <w:top w:val="single" w:sz="4" w:color="BDC3C7"/>
              <w:bottom w:val="single" w:sz="4" w:color="BDC3C7"/>
              <w:left w:val="single" w:sz="4" w:color="BDC3C7"/>
              <w:right w:val="single" w:sz="4" w:color="BDC3C7"/>
            </w:tcBorders>
          </w:tcPr>
          <w:p>
            <w:r>
              <w:t>n/a (unreachable)</w:t>
            </w:r>
          </w:p>
        </w:tc>
        <w:tc>
          <w:tcPr>
            <w:tcW w:type="dxa" w:w="1958"/>
            <w:tcBorders>
              <w:top w:val="single" w:sz="4" w:color="BDC3C7"/>
              <w:bottom w:val="single" w:sz="4" w:color="BDC3C7"/>
              <w:left w:val="single" w:sz="4" w:color="BDC3C7"/>
              <w:right w:val="single" w:sz="4" w:color="BDC3C7"/>
            </w:tcBorders>
          </w:tcPr>
          <w:p>
            <w:r>
              <w:t>—</w:t>
            </w:r>
          </w:p>
        </w:tc>
        <w:tc>
          <w:tcPr>
            <w:tcW w:type="dxa" w:w="1958"/>
            <w:tcBorders>
              <w:top w:val="single" w:sz="4" w:color="BDC3C7"/>
              <w:bottom w:val="single" w:sz="4" w:color="BDC3C7"/>
              <w:left w:val="single" w:sz="4" w:color="BDC3C7"/>
              <w:right w:val="single" w:sz="4" w:color="BDC3C7"/>
            </w:tcBorders>
          </w:tcPr>
          <w:p>
            <w:r>
              <w:t>0.60</w:t>
            </w:r>
          </w:p>
        </w:tc>
      </w:tr>
    </w:tbl>
    <w:p>
      <w:pPr>
        <w:pStyle w:val="PullQuote"/>
      </w:pPr>
      <w:r>
        <w:t>Rows marked 'n/a (unreachable)' mean no single value of that driver within plausible bounds would produce consensus EPS when other drivers are held at our values — i.e., the EPS gap can't be attributed to that driver alone. The ΔEPS column is not shown for those rows because the implied-street value would be a search-bound artifact, not a real derivation.</w:t>
      </w:r>
    </w:p>
    <w:p>
      <w:r>
        <w:t>Priced in: likely — Variant (+0.0%) within implied move noise (3.9%). Short interest 5.1% neutral</w:t>
      </w:r>
    </w:p>
    <w:p>
      <w:r>
        <w:t>Edge verdict: NO_CLEAR_EDGE (score 0.000).</w:t>
      </w:r>
    </w:p>
    <w:p>
      <w:pPr>
        <w:pStyle w:val="PullQuote"/>
      </w:pPr>
      <w:r>
        <w:t>Counter: the analyst claims Consensus EPS of $7.69 is achievable with current growth trajectory — but Operating leverage assumption is flawed. Company showed negative operating margins in Q2-Q3 2025 despite 30%+ revenue growth, suggesting fixed cost base has expanded ahead of revenue. Current Q1 2026 operating margin of 3.6% would need massive expansion to support $7.69 EPS on projected revenue base.</w:t>
      </w:r>
    </w:p>
    <w:p>
      <w:pPr>
        <w:pStyle w:val="SectionHeading"/>
      </w:pPr>
      <w:r>
        <w:t>4. Catalysts</w:t>
      </w:r>
    </w:p>
    <w:p>
      <w:pPr>
        <w:pStyle w:val="ListBullet"/>
      </w:pPr>
      <w:r>
        <w:t>Next quarterly earnings report (2026-08-03 (81 days)) — resolves revenue + margins + guidance; confirms or challenges</w:t>
      </w:r>
    </w:p>
    <w:p>
      <w:pPr>
        <w:pStyle w:val="ListBullet"/>
      </w:pPr>
      <w:r>
        <w:t>Resolution: Management can achieve 25.5% EBITDA margins through H2 operating leverage (Resolves at earnings (2026-08-03)) — resolves revenue_growth; confirms or challenges</w:t>
      </w:r>
    </w:p>
    <w:p>
      <w:pPr>
        <w:pStyle w:val="ListBullet"/>
      </w:pPr>
      <w:r>
        <w:t>Resolution: Analyst blind spot (Multi-year thesis -- patience required) — resolves general; confirms or challenges</w:t>
      </w:r>
    </w:p>
    <w:p>
      <w:pPr>
        <w:pStyle w:val="ListBullet"/>
      </w:pPr>
      <w:r>
        <w:t>Resolution: Analyst blind spot (Multi-year thesis -- patience required) — resolves general; confirms or challenges</w:t>
      </w:r>
    </w:p>
    <w:p>
      <w:pPr>
        <w:pStyle w:val="ListBullet"/>
      </w:pPr>
      <w:r>
        <w:t>Specific tariff rates and duration assumptions in management guidance (Unknown timing) — resolves multiple; resolves uncertainty</w:t>
      </w:r>
    </w:p>
    <w:p>
      <w:pPr>
        <w:pStyle w:val="ListBullet"/>
      </w:pPr>
      <w:r>
        <w:t>Platform solutions gross margin profile vs. core TASER/camera products (Unknown timing) — resolves multiple; resolves uncertainty</w:t>
      </w:r>
    </w:p>
    <w:p>
      <w:pPr>
        <w:pStyle w:val="SectionHeading"/>
      </w:pPr>
      <w:r>
        <w:t>5. Risks, Blind Spots &amp; Kill Criteria</w:t>
      </w:r>
    </w:p>
    <w:p>
      <w:pPr>
        <w:pStyle w:val="SubHeading"/>
      </w:pPr>
      <w:r>
        <w:t>Top risks:</w:t>
      </w:r>
    </w:p>
    <w:p>
      <w:pPr>
        <w:pStyle w:val="ListBullet"/>
      </w:pPr>
      <w:r>
        <w:t>Analyst focuses on tariff pressures as primary margin risk — counter: Filing shows Platform Solutions (including counter-drone) grew 95% YoY to $111M in Q1 2026, but this high-growth segment likely carries lower margins than core TASER/camera hardware. Mix shift toward Platform Solutions could compress margins independent of tariffs [serious]</w:t>
      </w:r>
    </w:p>
    <w:p>
      <w:pPr>
        <w:pStyle w:val="ListBullet"/>
      </w:pPr>
      <w:r>
        <w:t>Analyst expects margin optimization despite tariff headwinds — counter: Quarterly financials show operating margin was negative in Q3 2025 (-0.3%) and Q2 2025 (-0.2%), only turning positive in Q1 2026 at 3.6%. This volatility in operating leverage suggests margin sustainability at scale is questionable, especially with 25.5% Adjusted EBITDA guidance [serious]</w:t>
      </w:r>
    </w:p>
    <w:p>
      <w:pPr>
        <w:pStyle w:val="ListBullet"/>
      </w:pPr>
      <w:r>
        <w:t>Management can achieve 25.5% EBITDA margins through H2 operating leverage — counter: Platform solutions (lower margin) grew 95% in Q1 2026 and 81% in Q4 2025, becoming a larger mix. Tariffs have pressured gross margins for multiple quarters, with Q1 2026 at 59.1% vs 60.6% in Q1 2025. Operating margin was only 3.6% in Q1 despite 34% revenue growth. [moderate]</w:t>
      </w:r>
    </w:p>
    <w:p>
      <w:pPr>
        <w:pStyle w:val="SubHeading"/>
      </w:pPr>
      <w:r>
        <w:t>Blind spots (auditor-independent):</w:t>
      </w:r>
    </w:p>
    <w:p>
      <w:pPr>
        <w:pStyle w:val="ListBullet"/>
      </w:pPr>
      <w:r>
        <w:t>Municipal budget cycle timing - Q1 strength may reflect budget-year front-loading rather than sustainable demand</w:t>
      </w:r>
    </w:p>
    <w:p>
      <w:pPr>
        <w:pStyle w:val="ListBullet"/>
      </w:pPr>
      <w:r>
        <w:t>Platform Solutions margin profile - 95% growth in lowest-margin segment could overwhelm software mix benefits</w:t>
      </w:r>
    </w:p>
    <w:p>
      <w:pPr>
        <w:pStyle w:val="ListBullet"/>
      </w:pPr>
      <w:r>
        <w:t>AI product revenue base effects - 700% growth from likely tiny base may not be material to overall trajectory</w:t>
      </w:r>
    </w:p>
    <w:p>
      <w:pPr>
        <w:pStyle w:val="KillCriteria"/>
      </w:pPr>
      <w:r>
        <w:t>What would change our mind: Unable to close gap: Specific tariff rates and duration assumptions in management guidance</w:t>
      </w:r>
    </w:p>
    <w:p>
      <w:pPr>
        <w:pStyle w:val="SectionHeading"/>
      </w:pPr>
      <w:r>
        <w:t>Appendix</w:t>
      </w:r>
    </w:p>
    <w:p>
      <w:pPr>
        <w:pStyle w:val="SubHeading"/>
      </w:pPr>
      <w:r>
        <w:t>Business context:</w:t>
      </w:r>
    </w:p>
    <w:p>
      <w:r>
        <w:t>Axon Enterprise develops and manufactures law enforcement technology products including TASER devices, body-worn cameras, digital evidence management software, and AI-powered public safety solutions. The company operates through two segments: Connected Devices (hardware like TASERs and cameras) and Software and Services (cloud-based evidence management, AI tools, and subscription services).</w:t>
      </w:r>
    </w:p>
    <w:p>
      <w:pPr>
        <w:pStyle w:val="SubHeading"/>
      </w:pPr>
      <w:r>
        <w:t>Evidence gaps (research TODO):</w:t>
      </w:r>
    </w:p>
    <w:p>
      <w:pPr>
        <w:pStyle w:val="ListBullet"/>
      </w:pPr>
      <w:r>
        <w:t>Specific tariff rates and duration assumptions in management guidance</w:t>
      </w:r>
    </w:p>
    <w:p>
      <w:pPr>
        <w:pStyle w:val="ListBullet"/>
      </w:pPr>
      <w:r>
        <w:t>Platform solutions gross margin profile vs. core TASER/camera products</w:t>
      </w:r>
    </w:p>
    <w:p>
      <w:pPr>
        <w:pStyle w:val="ListBullet"/>
      </w:pPr>
      <w:r>
        <w:t>Municipal budget health indicators and renewal rate trends by customer size</w:t>
      </w:r>
    </w:p>
    <w:p>
      <w:pPr>
        <w:pStyle w:val="ListBullet"/>
      </w:pPr>
      <w:r>
        <w:t>International revenue mix and margin profile vs. domestic business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