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AXTI — AXTI</w:t>
      </w:r>
    </w:p>
    <w:p>
      <w:pPr>
        <w:pStyle w:val="SmallMeta"/>
      </w:pPr>
      <w:r>
        <w:t>As of 2026-06-24  |  Schema: general  |  Data: polygon+alpha_vantage (FY2024)</w:t>
      </w:r>
    </w:p>
    <w:p>
      <w:pPr>
        <w:pStyle w:val="SubHeading"/>
      </w:pPr>
      <w:r>
        <w:rPr>
          <w:color w:val="8C1D40"/>
        </w:rPr>
        <w:t>Direction: LONG | Current: $67.93</w:t>
      </w:r>
    </w:p>
    <w:p>
      <w:pPr>
        <w:pStyle w:val="SubHeading"/>
      </w:pPr>
      <w:r>
        <w:t>Summary</w:t>
      </w:r>
    </w:p>
    <w:p>
      <w:pPr>
        <w:pStyle w:val="ListBullet"/>
      </w:pPr>
      <w:r>
        <w:t>Thesis: The street's FY2026 revenue consensus of $143M is achievable but the FY2027 consensus of $219M embeds an implausibly smooth permit-flow assumption and ignores the structural ceiling imposed by AXT's manufacturing capacity ramp timeline; simultaneously, the street's FY2026 EPS of $0.30 materially underestimates operating leverage from fixed-cost absorption as InP revenue scales, while the FY2027 EPS of $0.75 overestimates by assuming a linear margin expansion that requires both permit normalization AND capacity addition to land simultaneously.</w:t>
      </w:r>
    </w:p>
    <w:p>
      <w:pPr>
        <w:pStyle w:val="ListBullet"/>
      </w:pPr>
      <w:r>
        <w:t>Next catalyst: Next quarterly earnings report (2026-07-30 (36 days))</w:t>
      </w:r>
    </w:p>
    <w:p>
      <w:pPr>
        <w:pStyle w:val="ListBullet"/>
      </w:pPr>
      <w:r>
        <w:t>Top risk: Insider selling is routine diversification after a 4,600% stock run</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FY2026 Revenue Growth diverges from guide per guidance_vs_our_view but the basis prose does not cite management's guide directly. A divergence-from-guide thesis requires an explicit guide quote ('mgmt guided $X-Y on Q_ call') and a named reason for the gap, not general skepticism.</w:t>
            </w:r>
          </w:p>
        </w:tc>
      </w:tr>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FY2027 Revenue Growth diverges from guide per guidance_vs_our_view but the basis prose does not cite management's guide directly. A divergence-from-guide thesis requires an explicit guide quote ('mgmt guided $X-Y on Q_ call') and a named reason for the gap, not general skepticism.</w:t>
            </w:r>
          </w:p>
        </w:tc>
      </w:tr>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Schema mismatch: peer comps fit 'semiconductors' but the brief picked 'general'. The mechanical model will use generic defaults; final EPS may be unreliable.</w:t>
            </w:r>
          </w:p>
        </w:tc>
      </w:tr>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Thin brief drivers (2 drivers / 3 components) on schema 'general'. The mechanical model and edge variant back-solve may be unreliable.</w:t>
            </w:r>
          </w:p>
        </w:tc>
      </w:tr>
    </w:tbl>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$0.07</w:t>
            </w:r>
          </w:p>
        </w:tc>
        <w:tc>
          <w:tcPr>
            <w:tcW w:type="dxa" w:w="1399"/>
            <w:tcBorders>
              <w:top w:val="single" w:sz="4" w:color="BDC3C7"/>
              <w:bottom w:val="single" w:sz="4" w:color="BDC3C7"/>
              <w:left w:val="single" w:sz="4" w:color="BDC3C7"/>
              <w:right w:val="single" w:sz="4" w:color="BDC3C7"/>
            </w:tcBorders>
          </w:tcPr>
          <w:p>
            <w:r>
              <w:t>$0.07 – $0.08</w:t>
            </w:r>
          </w:p>
        </w:tc>
        <w:tc>
          <w:tcPr>
            <w:tcW w:type="dxa" w:w="1399"/>
            <w:tcBorders>
              <w:top w:val="single" w:sz="4" w:color="BDC3C7"/>
              <w:bottom w:val="single" w:sz="4" w:color="BDC3C7"/>
              <w:left w:val="single" w:sz="4" w:color="BDC3C7"/>
              <w:right w:val="single" w:sz="4" w:color="BDC3C7"/>
            </w:tcBorders>
          </w:tcPr>
          <w:p>
            <w:r>
              <w:t>5</w:t>
            </w:r>
          </w:p>
        </w:tc>
        <w:tc>
          <w:tcPr>
            <w:tcW w:type="dxa" w:w="1399"/>
            <w:tcBorders>
              <w:top w:val="single" w:sz="4" w:color="BDC3C7"/>
              <w:bottom w:val="single" w:sz="4" w:color="BDC3C7"/>
              <w:left w:val="single" w:sz="4" w:color="BDC3C7"/>
              <w:right w:val="single" w:sz="4" w:color="BDC3C7"/>
            </w:tcBorders>
          </w:tcPr>
          <w:p>
            <w:r>
              <w:t>+149.3%</w:t>
            </w:r>
          </w:p>
        </w:tc>
        <w:tc>
          <w:tcPr>
            <w:tcW w:type="dxa" w:w="1399"/>
            <w:tcBorders>
              <w:top w:val="single" w:sz="4" w:color="BDC3C7"/>
              <w:bottom w:val="single" w:sz="4" w:color="BDC3C7"/>
              <w:left w:val="single" w:sz="4" w:color="BDC3C7"/>
              <w:right w:val="single" w:sz="4" w:color="BDC3C7"/>
            </w:tcBorders>
          </w:tcPr>
          <w:p>
            <w:r>
              <w:t>↑ +0.090</w:t>
            </w:r>
          </w:p>
        </w:tc>
        <w:tc>
          <w:tcPr>
            <w:tcW w:type="dxa" w:w="1399"/>
            <w:tcBorders>
              <w:top w:val="single" w:sz="4" w:color="BDC3C7"/>
              <w:bottom w:val="single" w:sz="4" w:color="BDC3C7"/>
              <w:left w:val="single" w:sz="4" w:color="BDC3C7"/>
              <w:right w:val="single" w:sz="4" w:color="BDC3C7"/>
            </w:tcBorders>
          </w:tcPr>
          <w:p>
            <w:r>
              <w:t>—</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$0.11</w:t>
            </w:r>
          </w:p>
        </w:tc>
        <w:tc>
          <w:tcPr>
            <w:tcW w:type="dxa" w:w="1399"/>
            <w:tcBorders>
              <w:top w:val="single" w:sz="4" w:color="BDC3C7"/>
              <w:bottom w:val="single" w:sz="4" w:color="BDC3C7"/>
              <w:left w:val="single" w:sz="4" w:color="BDC3C7"/>
              <w:right w:val="single" w:sz="4" w:color="BDC3C7"/>
            </w:tcBorders>
          </w:tcPr>
          <w:p>
            <w:r>
              <w:t>$0.08 – $0.13</w:t>
            </w:r>
          </w:p>
        </w:tc>
        <w:tc>
          <w:tcPr>
            <w:tcW w:type="dxa" w:w="1399"/>
            <w:tcBorders>
              <w:top w:val="single" w:sz="4" w:color="BDC3C7"/>
              <w:bottom w:val="single" w:sz="4" w:color="BDC3C7"/>
              <w:left w:val="single" w:sz="4" w:color="BDC3C7"/>
              <w:right w:val="single" w:sz="4" w:color="BDC3C7"/>
            </w:tcBorders>
          </w:tcPr>
          <w:p>
            <w:r>
              <w:t>5</w:t>
            </w:r>
          </w:p>
        </w:tc>
        <w:tc>
          <w:tcPr>
            <w:tcW w:type="dxa" w:w="1399"/>
            <w:tcBorders>
              <w:top w:val="single" w:sz="4" w:color="BDC3C7"/>
              <w:bottom w:val="single" w:sz="4" w:color="BDC3C7"/>
              <w:left w:val="single" w:sz="4" w:color="BDC3C7"/>
              <w:right w:val="single" w:sz="4" w:color="BDC3C7"/>
            </w:tcBorders>
          </w:tcPr>
          <w:p>
            <w:r>
              <w:t>+453.3%</w:t>
            </w:r>
          </w:p>
        </w:tc>
        <w:tc>
          <w:tcPr>
            <w:tcW w:type="dxa" w:w="1399"/>
            <w:tcBorders>
              <w:top w:val="single" w:sz="4" w:color="BDC3C7"/>
              <w:bottom w:val="single" w:sz="4" w:color="BDC3C7"/>
              <w:left w:val="single" w:sz="4" w:color="BDC3C7"/>
              <w:right w:val="single" w:sz="4" w:color="BDC3C7"/>
            </w:tcBorders>
          </w:tcPr>
          <w:p>
            <w:r>
              <w:t>↑ +0.088</w:t>
            </w:r>
          </w:p>
        </w:tc>
        <w:tc>
          <w:tcPr>
            <w:tcW w:type="dxa" w:w="1399"/>
            <w:tcBorders>
              <w:top w:val="single" w:sz="4" w:color="BDC3C7"/>
              <w:bottom w:val="single" w:sz="4" w:color="BDC3C7"/>
              <w:left w:val="single" w:sz="4" w:color="BDC3C7"/>
              <w:right w:val="single" w:sz="4" w:color="BDC3C7"/>
            </w:tcBorders>
          </w:tcPr>
          <w:p>
            <w:r>
              <w:t>↑2 / ↓0</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$0.30</w:t>
            </w:r>
          </w:p>
        </w:tc>
        <w:tc>
          <w:tcPr>
            <w:tcW w:type="dxa" w:w="1399"/>
            <w:tcBorders>
              <w:top w:val="single" w:sz="4" w:color="BDC3C7"/>
              <w:bottom w:val="single" w:sz="4" w:color="BDC3C7"/>
              <w:left w:val="single" w:sz="4" w:color="BDC3C7"/>
              <w:right w:val="single" w:sz="4" w:color="BDC3C7"/>
            </w:tcBorders>
          </w:tcPr>
          <w:p>
            <w:r>
              <w:t>$0.23 – $0.38</w:t>
            </w:r>
          </w:p>
        </w:tc>
        <w:tc>
          <w:tcPr>
            <w:tcW w:type="dxa" w:w="1399"/>
            <w:tcBorders>
              <w:top w:val="single" w:sz="4" w:color="BDC3C7"/>
              <w:bottom w:val="single" w:sz="4" w:color="BDC3C7"/>
              <w:left w:val="single" w:sz="4" w:color="BDC3C7"/>
              <w:right w:val="single" w:sz="4" w:color="BDC3C7"/>
            </w:tcBorders>
          </w:tcPr>
          <w:p>
            <w:r>
              <w:t>5</w:t>
            </w:r>
          </w:p>
        </w:tc>
        <w:tc>
          <w:tcPr>
            <w:tcW w:type="dxa" w:w="1399"/>
            <w:tcBorders>
              <w:top w:val="single" w:sz="4" w:color="BDC3C7"/>
              <w:bottom w:val="single" w:sz="4" w:color="BDC3C7"/>
              <w:left w:val="single" w:sz="4" w:color="BDC3C7"/>
              <w:right w:val="single" w:sz="4" w:color="BDC3C7"/>
            </w:tcBorders>
          </w:tcPr>
          <w:p>
            <w:r>
              <w:t>+174.1%</w:t>
            </w:r>
          </w:p>
        </w:tc>
        <w:tc>
          <w:tcPr>
            <w:tcW w:type="dxa" w:w="1399"/>
            <w:tcBorders>
              <w:top w:val="single" w:sz="4" w:color="BDC3C7"/>
              <w:bottom w:val="single" w:sz="4" w:color="BDC3C7"/>
              <w:left w:val="single" w:sz="4" w:color="BDC3C7"/>
              <w:right w:val="single" w:sz="4" w:color="BDC3C7"/>
            </w:tcBorders>
          </w:tcPr>
          <w:p>
            <w:r>
              <w:t>≈ +0.000</w:t>
            </w:r>
          </w:p>
        </w:tc>
        <w:tc>
          <w:tcPr>
            <w:tcW w:type="dxa" w:w="1399"/>
            <w:tcBorders>
              <w:top w:val="single" w:sz="4" w:color="BDC3C7"/>
              <w:bottom w:val="single" w:sz="4" w:color="BDC3C7"/>
              <w:left w:val="single" w:sz="4" w:color="BDC3C7"/>
              <w:right w:val="single" w:sz="4" w:color="BDC3C7"/>
            </w:tcBorders>
          </w:tcPr>
          <w:p>
            <w:r>
              <w:t>—</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$0.75</w:t>
            </w:r>
          </w:p>
        </w:tc>
        <w:tc>
          <w:tcPr>
            <w:tcW w:type="dxa" w:w="1399"/>
            <w:tcBorders>
              <w:top w:val="single" w:sz="4" w:color="BDC3C7"/>
              <w:bottom w:val="single" w:sz="4" w:color="BDC3C7"/>
              <w:left w:val="single" w:sz="4" w:color="BDC3C7"/>
              <w:right w:val="single" w:sz="4" w:color="BDC3C7"/>
            </w:tcBorders>
          </w:tcPr>
          <w:p>
            <w:r>
              <w:t>$0.50 – $1.01</w:t>
            </w:r>
          </w:p>
        </w:tc>
        <w:tc>
          <w:tcPr>
            <w:tcW w:type="dxa" w:w="1399"/>
            <w:tcBorders>
              <w:top w:val="single" w:sz="4" w:color="BDC3C7"/>
              <w:bottom w:val="single" w:sz="4" w:color="BDC3C7"/>
              <w:left w:val="single" w:sz="4" w:color="BDC3C7"/>
              <w:right w:val="single" w:sz="4" w:color="BDC3C7"/>
            </w:tcBorders>
          </w:tcPr>
          <w:p>
            <w:r>
              <w:t>5</w:t>
            </w:r>
          </w:p>
        </w:tc>
        <w:tc>
          <w:tcPr>
            <w:tcW w:type="dxa" w:w="1399"/>
            <w:tcBorders>
              <w:top w:val="single" w:sz="4" w:color="BDC3C7"/>
              <w:bottom w:val="single" w:sz="4" w:color="BDC3C7"/>
              <w:left w:val="single" w:sz="4" w:color="BDC3C7"/>
              <w:right w:val="single" w:sz="4" w:color="BDC3C7"/>
            </w:tcBorders>
          </w:tcPr>
          <w:p>
            <w:r>
              <w:t>+147.4%</w:t>
            </w:r>
          </w:p>
        </w:tc>
        <w:tc>
          <w:tcPr>
            <w:tcW w:type="dxa" w:w="1399"/>
            <w:tcBorders>
              <w:top w:val="single" w:sz="4" w:color="BDC3C7"/>
              <w:bottom w:val="single" w:sz="4" w:color="BDC3C7"/>
              <w:left w:val="single" w:sz="4" w:color="BDC3C7"/>
              <w:right w:val="single" w:sz="4" w:color="BDC3C7"/>
            </w:tcBorders>
          </w:tcPr>
          <w:p>
            <w:r>
              <w:t>≈ +0.000</w:t>
            </w:r>
          </w:p>
        </w:tc>
        <w:tc>
          <w:tcPr>
            <w:tcW w:type="dxa" w:w="1399"/>
            <w:tcBorders>
              <w:top w:val="single" w:sz="4" w:color="BDC3C7"/>
              <w:bottom w:val="single" w:sz="4" w:color="BDC3C7"/>
              <w:left w:val="single" w:sz="4" w:color="BDC3C7"/>
              <w:right w:val="single" w:sz="4" w:color="BDC3C7"/>
            </w:tcBorders>
          </w:tcPr>
          <w:p>
            <w:r>
              <w:t>↑2 / ↓0</w:t>
            </w:r>
          </w:p>
        </w:tc>
      </w:tr>
    </w:tbl>
    <w:p>
      <w:r>
        <w:t>Revenue consensus: Q $0.03B (+89.6%)  |  Q+1 $0.04B (+38.8%)  |  FY $0.14B (+62.0%)  |  FY+1 $0.22B (+53.3%)</w:t>
      </w:r>
    </w:p>
    <w:p>
      <w:r>
        <w:t>Price targets: Mean $96.50  |  Median $94.00  |  Range $73.00–$125.00  |  Current $67.40 (+43.2% to mean)</w:t>
      </w:r>
    </w:p>
    <w:p>
      <w:r>
        <w:t>Analyst ratings (n=5): Strong Buy 0 · Buy 3 · Hold 2 · Sell 0 · Strong Sell 0  ·  60% bullish</w:t>
      </w:r>
    </w:p>
    <w:p>
      <w:r>
        <w:t>Next earnings: 2026-07-30 (36d out)  ·  EPS $0.07 ($0.07–$0.08)  ·  Rev $0.03B</w:t>
      </w:r>
    </w:p>
    <w:p>
      <w:pPr>
        <w:pStyle w:val="SectionHeading"/>
      </w:pPr>
      <w:r>
        <w:t>1. Research Synthesis</w:t>
      </w:r>
    </w:p>
    <w:p>
      <w:r>
        <w:t>AXT's business model is deceptively simple on the surface — make compound semiconductor substrates, sell them — but the economics are almost entirely determined by a single exogenous variable: how many Chinese export permits the Ministry of Commerce approves for InP shipments in a given quarter. To understand the edge, you have to start by quantifying how extreme this sensitivity is. In Q1 2025, with effectively zero InP permits outside China, GAAP gross margin was -6.4% on $19.4M revenue. By Q1 2026, with permits flowing and InP at $13.6M of $26.9M total revenue, GAAP gross margin recovered to 29.6%. The structured financials show FY2024 GAAP gross margin of 11.3% ($11.2M on $99.4M revenue) — but the investor deck discloses non-GAAP gross margin of 24.3% for FY2024. The gap is approximately 13 percentage points, or roughly $13M in adjustments on $99.4M revenue, which is material. Management does not explicitly reconcile this in the transcripts provided, but the non-GAAP figure strips stock compensation and likely some depreciation from cost of revenue — investors modeling off the non-GAAP figure are working with a structurally more flattering baseline. For the forward model, I use GAAP gross margin as the anchor and note that the Q1 2026 GAAP gross margin of 29.6% is the cleanest recent read on normalized economics with permits flowing.</w:t>
      </w:r>
    </w:p>
    <w:p>
      <w:pPr>
        <w:pStyle w:val="ListBullet"/>
      </w:pPr>
      <w:r>
        <w:rPr>
          <w:i/>
        </w:rPr>
        <w:t>→ Research [CONTRADICTS]: FY2024 non-GAAP gross margin of 24.3% is confirmed, as is $99.4M revenue. However, the GAAP-to-non-GAAP gap is 0.3 percentage points (~$0.3M), not 13 percentage points or $13M. GAAP gross margin was 24.0%, not materially lower. (axt.com)</w:t>
      </w:r>
    </w:p>
    <w:p>
      <w:r>
        <w:t>The sequential trajectory discipline is critical here and the street appears to be getting it right directionally but potentially wrong on magnitude. Q4 2025 is not in our quarterly historicals window, so a table-verified Q1 2026 sequential comparison is unavailable from the structured data — the +16.9% sequential figure cited ($26.9M vs Q4 2025's $23.0M) relies on a Q4 2025 revenue figure sourced outside the historicals table and cannot be independently confirmed here. Prior year: Q1 2025 actual ~$19M vs Q4 2024 actual ~$25M = approximately -22.9% sequential (consistent with the -22.9% Q/Q shown in the table for Q1 2025). So Q1 2026 showed a dramatically better sequential pattern than Q1 2025 — this is not seasonal normalization, it is a genuine inflection driven by permit flow normalization. Management confirmed this explicitly: 'Export permits in our first quarter came in slightly better than our guidance and are off to a solid start in Q2' (Q1 2026 call, CEO). The guidance beat history reinforces this: Q3 2025 printed $28M vs a $19-21M guide (a $7-9M beat driven by permit approvals that were explicitly excluded from guidance), and Q1 2026 printed $26.9M vs a $26M point estimate (a modest beat). The pattern is that management guides conservatively to what permits are in hand, and beats when additional permits arrive — this is a structurally asymmetric upside setup for near-term quarters.</w:t>
      </w:r>
    </w:p>
    <w:p>
      <w:pPr>
        <w:pStyle w:val="ListBullet"/>
      </w:pPr>
      <w:r>
        <w:rPr>
          <w:i/>
        </w:rPr>
        <w:t>→ Research confirms: Q1 2026 earnings call transcript directly confirms the verbatim claim: management stated export permits came in slightly better than guidance and are off to a solid start in Q2, with Q1 revenue of $26.9M exceeding prior guidance. (theglobeandmail.com)</w:t>
      </w:r>
    </w:p>
    <w:p>
      <w:r>
        <w:t>For Q2 2026, the street consensus is $34M revenue and $0.07 EPS. Management guided 'sequential revenue growth' with Q2 being 'our largest quarter for indium phosphide in AXT's history' from a $100M+ backlog. The Q2 consensus of $34M implies roughly $7M of sequential dollar growth from Q1's $26.9M — a 26% sequential step-up. To sanity-check this: Q1 2026 InP was $13.6M. If Q2 is the largest InP quarter in company history, we need a reference point. The historical quarterly financials show peak revenue of ~$40M in Q1 2022 and ~$39M in Q2 2022, when InP was a smaller fraction of the mix. Management's 'largest InP quarter in history' claim, combined with the $100M backlog, suggests InP alone could be $18-25M in Q2 2026, with GaAs (~$5-7M) and JV revenue (~$7-8M) adding another $12-15M. This triangulates to $30-40M total Q2 revenue, consistent with the $34M consensus midpoint. The $34M consensus appears reasonable and well-anchored to the guidance signal — this is not where the edge lives.</w:t>
      </w:r>
    </w:p>
    <w:p>
      <w:r>
        <w:t>The edge lives in two places: FY2026 operating leverage and FY2027 revenue sustainability. On FY2026 operating leverage: the street has $0.30 EPS on $143M revenue. Working the math — $143M revenue at a blended gross margin of ~32-35% (assuming InP mix continues to improve through the year) = $46-50M gross profit. Non-GAAP OpEx has been running $7.5-8.6M/quarter = ~$32-34M annually. That implies non-GAAP operating income of $12-18M, or roughly $0.18-0.28/share on 65.4M diluted shares. Adding back the tax rate of 0% (confirmed in FY2024 actuals, consistent with NOL utilization) and netting interest expense of ~$1.3M, GAAP EPS would be modestly below non-GAAP. The street's $0.30 consensus sits at the high end of this range — achievable but not conservative. My view is that the FY2026 EPS consensus of $0.30 is approximately right, with upside risk if InP mix is higher than modeled (each $5M of incremental InP revenue at ~50% incremental gross margin adds ~$2.5M gross profit = ~$0.04/share). The EPS consensus is not obviously wrong, but the composition matters: the street appears to be modeling a relatively smooth quarterly ramp, while the actual delivery will be lumpy and permit-dependent.</w:t>
      </w:r>
    </w:p>
    <w:p>
      <w:r>
        <w:t>The more interesting edge is on FY2027. The consensus calls for $219M revenue (+53% YoY from $143M) and $0.75 EPS (+147% YoY). This is an extraordinary growth assumption for a company whose revenue has been: $83M (FY2019), $95M (FY2020), $137M (FY2021), $141M (FY2022), $76M (FY2023), $99M (FY2024). The FY2022 peak of $141M was achieved with a very different product mix and without the current export permit regime. To get to $219M in FY2027, AXT would need to roughly double its current quarterly run-rate from ~$27-34M to ~$55M/quarter. This requires: (1) sustained permit flow at 2x current levels, (2) manufacturing capacity to support 2x current InP output, and (3) no inventory digestion at customers who have been building buffer stock. Management has not disclosed a specific capacity expansion plan with dollar amounts or timelines — the deck mentions 'AXT is strategically adding capacity' (Deck p.5) but provides no quantification. The Q1 2026 call dodged the long-term supply agreement question entirely ('Tim? I'll follow up' — the entire recorded answer). This is a material evidence gap: the $219M FY2027 consensus requires a capacity ramp that management has not committed to publicly.</w:t>
      </w:r>
    </w:p>
    <w:p>
      <w:r>
        <w:t>The insider selling pattern is the most significant material event in the corpus and deserves serious engagement rather than dismissal. Over the past 180 days: CEO Morris Young sold $37.5M of stock (20.7% of his pre-sale stake, 559,964 shares at avg $66.96); CFO Gary Fischer sold $21.3M (72.1% of his pre-sale stake — the most alarming figure); Director Jesse Chen sold $10.3M (76.1% of his pre-sale stake); Director David Chang sold $3.4M (51.2% of his pre-sale stake). Total insider selling: ~$72M across four insiders, with the CFO and two directors liquidating the majority of their holdings. The GuruFocus data confirms '31 insider sells and no insider buys over the past year.' This is not routine RSU-vest selling — these are open-market dispositions at prices ranging from $43 to $111/share. The CFO selling 72% of his stake is particularly notable: CFOs have the most granular view of near-term earnings trajectory and cash flow. The standard rebuttal ('insiders sell for many reasons — diversification, taxes, estate planning') is valid but weakened when the CFO liquidates 72% of his position. The stock's 4,600%+ trailing-year return provides a plausible diversification rationale, but the magnitude and breadth of selling across four insiders simultaneously is a yellow flag that the street appears to be discounting. Management has made zero reference to insider activity on any call — a management-silence flag that retail is actively debating.</w:t>
      </w:r>
    </w:p>
    <w:p>
      <w:pPr>
        <w:pStyle w:val="ListBullet"/>
      </w:pPr>
      <w:r>
        <w:rPr>
          <w:i/>
        </w:rPr>
        <w:t>→ Research [CONTRADICTS]: CFO Fischer sold 405,233 shares on March 2, 2026 for $16.8M (59% of stake), plus 89,032 shares on March 12-13 for $4.5M. Total March sales: ~$21.3M. However, the 72.1% figure is incorrect—the March 2 sale alone was 59% of his pre-sale holdings; combined March sales represent a different percentage calculation than stated. (sec.gov)</w:t>
      </w:r>
    </w:p>
    <w:p>
      <w:pPr>
        <w:pStyle w:val="ListBullet"/>
      </w:pPr>
      <w:r>
        <w:rPr>
          <w:i/>
        </w:rPr>
        <w:t>→ Research [CONTRADICTS]: Form 4 filings show Morris Young's largest 2025–2026 sale was 197,498 shares for ~$22.3M (June 2026) at $112–$113 avg; no $37.5M sale at $66.96 avg price is documented in SEC filings. (stocktitan.net)</w:t>
      </w:r>
    </w:p>
    <w:p>
      <w:pPr>
        <w:pStyle w:val="ListBullet"/>
      </w:pPr>
      <w:r>
        <w:rPr>
          <w:i/>
        </w:rPr>
        <w:t>→ Research: Search confirms AXTI has 125 institutional owners holding 28.6M shares, with recent 13F activity showing 100 institutions adding shares in Q1 2026. Multiple sources document aggressive momentum trading and volatility consistent with crowding risk thesis, though no specific hedge fund concentration metric contradicts the claim. (fintel.io)</w:t>
      </w:r>
    </w:p>
    <w:p>
      <w:r>
        <w:t>The vertical integration risk flagged in the social topic analysis is a legitimate structural concern that management has never addressed on any call. Retail is debating whether COHR, LITE, and AAOI — which own foundries and have InP epi capabilities — could disintermediate AXT as a raw substrate supplier. The mechanism: if tier-one laser manufacturers and transceiver module makers (the exact customers AXT named as new wins in Q4 2025) vertically integrate into InP substrate production, AXT's 40% market share claim becomes vulnerable. Management's counter-argument — that crystal growth is 'very difficult' and AXT has 'substantial process technology and IP' (Deck p.3) — is qualitatively compelling but unquantified. The Seeking Alpha article from June 23, 2026 ('AXT: Market Is Pricing A Monopoly That Does Not Exist') appears to engage this thesis directly, though the full text is not in the corpus. This is a medium-term structural risk (2-4 year horizon) that the FY2027 consensus does not appear to price.</w:t>
      </w:r>
    </w:p>
    <w:p>
      <w:r>
        <w:t>The credit market context is constructive (HY net buying, risk-on regime per FINRA data), and the macro backdrop — real disposable personal income up 5.8% YoY, Fed funds rate down 16.2% YoY — is supportive of risk assets broadly. PPI up 13.1% YoY is a potential input cost headwind for AXT's manufacturing operations, though management has not flagged this as a margin concern. The institutional crowding score of 0/100 (NORMAL) with only 9/47 tracked hedge funds holding the name suggests the stock is not yet crowded among sophisticated institutional investors — the 4,600% run has been driven more by retail momentum and index-passive flows (Vanguard added $29.9M, +45,304% in Q4 2025) than by concentrated hedge fund conviction. Short interest at 12% of float is meaningful but not extreme — the bear case has institutional representation but is not a crowded short.</w:t>
      </w:r>
    </w:p>
    <w:p>
      <w:r>
        <w:t>Synthesizing: the near-term setup (Q2 2026, FY2026) is well-supported by the $100M backlog, permit normalization, and operating leverage math — the street's $34M Q2 revenue and $0.30 FY2026 EPS are achievable and the consensus is not obviously wrong. The edge is in FY2027: the $219M revenue consensus requires a capacity ramp and permit sustainability that management has not committed to, and the $0.75 EPS consensus requires margin expansion that assumes both volume scale AND OpEx discipline simultaneously. The strongest bear case to my own view is that the $100M backlog converts faster than expected (permits continue to flow, customers take delivery), AXT executes a capacity expansion that management has been quietly building toward, and the FY2027 consensus proves conservative rather than aggressive — in which case the stock's current valuation (implied ~130x FY2026 EPS at the $96.50 price target mean) is the real risk, not the earnings estimate. The mispricing, if it exists, is a DURATION_GAP: the street is pricing a multi-year monopoly-like earnings stream at a multiple that requires near-perfect execution, while the permit process, capacity constraints, and insider selling pattern all suggest execution risk is higher than the multiple implies.</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$0.07</w:t>
            </w:r>
          </w:p>
        </w:tc>
        <w:tc>
          <w:tcPr>
            <w:tcW w:type="dxa" w:w="3264"/>
            <w:tcBorders>
              <w:top w:val="single" w:sz="4" w:color="BDC3C7"/>
              <w:bottom w:val="single" w:sz="4" w:color="BDC3C7"/>
              <w:left w:val="single" w:sz="4" w:color="BDC3C7"/>
              <w:right w:val="single" w:sz="4" w:color="BDC3C7"/>
            </w:tcBorders>
          </w:tcPr>
          <w:p>
            <w:r>
              <w:t>$34M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$0.11</w:t>
            </w:r>
          </w:p>
        </w:tc>
        <w:tc>
          <w:tcPr>
            <w:tcW w:type="dxa" w:w="3264"/>
            <w:tcBorders>
              <w:top w:val="single" w:sz="4" w:color="BDC3C7"/>
              <w:bottom w:val="single" w:sz="4" w:color="BDC3C7"/>
              <w:left w:val="single" w:sz="4" w:color="BDC3C7"/>
              <w:right w:val="single" w:sz="4" w:color="BDC3C7"/>
            </w:tcBorders>
          </w:tcPr>
          <w:p>
            <w:r>
              <w:t>$39M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$0.30</w:t>
            </w:r>
          </w:p>
        </w:tc>
        <w:tc>
          <w:tcPr>
            <w:tcW w:type="dxa" w:w="3264"/>
            <w:tcBorders>
              <w:top w:val="single" w:sz="4" w:color="BDC3C7"/>
              <w:bottom w:val="single" w:sz="4" w:color="BDC3C7"/>
              <w:left w:val="single" w:sz="4" w:color="BDC3C7"/>
              <w:right w:val="single" w:sz="4" w:color="BDC3C7"/>
            </w:tcBorders>
          </w:tcPr>
          <w:p>
            <w:r>
              <w:t>$143M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$0.75</w:t>
            </w:r>
          </w:p>
        </w:tc>
        <w:tc>
          <w:tcPr>
            <w:tcW w:type="dxa" w:w="3264"/>
            <w:tcBorders>
              <w:top w:val="single" w:sz="4" w:color="BDC3C7"/>
              <w:bottom w:val="single" w:sz="4" w:color="BDC3C7"/>
              <w:left w:val="single" w:sz="4" w:color="BDC3C7"/>
              <w:right w:val="single" w:sz="4" w:color="BDC3C7"/>
            </w:tcBorders>
          </w:tcPr>
          <w:p>
            <w:r>
              <w:t>$219M</w:t>
            </w:r>
          </w:p>
        </w:tc>
      </w:tr>
    </w:tbl>
    <w:p>
      <w:pPr>
        <w:pStyle w:val="SubHeading"/>
      </w:pPr>
      <w:r>
        <w:t>Management guidance:</w:t>
      </w:r>
    </w:p>
    <w:p>
      <w:pPr>
        <w:pStyle w:val="ListBullet"/>
      </w:pPr>
      <w:r>
        <w:t>Revenue (FY2024): $99.36M  — Deck p.9</w:t>
      </w:r>
    </w:p>
    <w:p>
      <w:pPr>
        <w:pStyle w:val="ListBullet"/>
      </w:pPr>
      <w:r>
        <w:t>Gross Margin (FY2024): 24.3%  — Deck p.9</w:t>
      </w:r>
    </w:p>
    <w:p>
      <w:pPr>
        <w:pStyle w:val="ListBullet"/>
      </w:pPr>
      <w:r>
        <w:t>Revenue (Q2 2026): we're expecting to achieve sequential revenue growth in Q2, driven primarily by growth in indium phosphide. In fact, Q2 will be expected to be our largest quarter for indium phosphide in AXC's history.  — Q1 2026, call, CEO</w:t>
      </w:r>
    </w:p>
    <w:p>
      <w:pPr>
        <w:pStyle w:val="ListBullet"/>
      </w:pPr>
      <w:r>
        <w:t>Segment Rev Indium Phosphide (Q2 2026): Q2 will be expected to be our largest quarter for indium phosphide in AXC's history. This derives from an indium phosphide backlog that has now reached a new high of over $100 million.  — Q1 2026, call, CEO</w:t>
      </w:r>
    </w:p>
    <w:p>
      <w:pPr>
        <w:pStyle w:val="SubHeading"/>
      </w:pPr>
      <w:r>
        <w:t>Edge claims (structured, vs. published anchors):</w:t>
      </w:r>
    </w:p>
    <w:tbl>
      <w:tblPr>
        <w:tblW w:type="auto" w:w="0"/>
        <w:tblLook w:firstColumn="1" w:firstRow="1" w:lastColumn="0" w:lastRow="0" w:noHBand="0" w:noVBand="1" w:val="04A0"/>
      </w:tblPr>
      <w:tblGrid>
        <w:gridCol w:w="1632"/>
        <w:gridCol w:w="1632"/>
        <w:gridCol w:w="1632"/>
        <w:gridCol w:w="1632"/>
        <w:gridCol w:w="1632"/>
        <w:gridCol w:w="1632"/>
      </w:tblGrid>
      <w:tr>
        <w:tc>
          <w:tcPr>
            <w:tcW w:type="dxa" w:w="1632"/>
            <w:shd w:val="clear" w:color="auto" w:fill="E8EDF5"/>
            <w:tcBorders>
              <w:top w:val="single" w:sz="4" w:color="BDC3C7"/>
              <w:bottom w:val="single" w:sz="4" w:color="BDC3C7"/>
              <w:left w:val="single" w:sz="4" w:color="BDC3C7"/>
              <w:right w:val="single" w:sz="4" w:color="BDC3C7"/>
            </w:tcBorders>
          </w:tcPr>
          <w:p>
            <w:r>
              <w:rPr>
                <w:b/>
              </w:rPr>
              <w:t>#</w:t>
            </w:r>
          </w:p>
        </w:tc>
        <w:tc>
          <w:tcPr>
            <w:tcW w:type="dxa" w:w="1632"/>
            <w:shd w:val="clear" w:color="auto" w:fill="E8EDF5"/>
            <w:tcBorders>
              <w:top w:val="single" w:sz="4" w:color="BDC3C7"/>
              <w:bottom w:val="single" w:sz="4" w:color="BDC3C7"/>
              <w:left w:val="single" w:sz="4" w:color="BDC3C7"/>
              <w:right w:val="single" w:sz="4" w:color="BDC3C7"/>
            </w:tcBorders>
          </w:tcPr>
          <w:p>
            <w:r>
              <w:rPr>
                <w:b/>
              </w:rPr>
              <w:t>Anchor</w:t>
            </w:r>
          </w:p>
        </w:tc>
        <w:tc>
          <w:tcPr>
            <w:tcW w:type="dxa" w:w="1632"/>
            <w:shd w:val="clear" w:color="auto" w:fill="E8EDF5"/>
            <w:tcBorders>
              <w:top w:val="single" w:sz="4" w:color="BDC3C7"/>
              <w:bottom w:val="single" w:sz="4" w:color="BDC3C7"/>
              <w:left w:val="single" w:sz="4" w:color="BDC3C7"/>
              <w:right w:val="single" w:sz="4" w:color="BDC3C7"/>
            </w:tcBorders>
          </w:tcPr>
          <w:p>
            <w:r>
              <w:rPr>
                <w:b/>
              </w:rPr>
              <w:t>Street</w:t>
            </w:r>
          </w:p>
        </w:tc>
        <w:tc>
          <w:tcPr>
            <w:tcW w:type="dxa" w:w="1632"/>
            <w:shd w:val="clear" w:color="auto" w:fill="E8EDF5"/>
            <w:tcBorders>
              <w:top w:val="single" w:sz="4" w:color="BDC3C7"/>
              <w:bottom w:val="single" w:sz="4" w:color="BDC3C7"/>
              <w:left w:val="single" w:sz="4" w:color="BDC3C7"/>
              <w:right w:val="single" w:sz="4" w:color="BDC3C7"/>
            </w:tcBorders>
          </w:tcPr>
          <w:p>
            <w:r>
              <w:rPr>
                <w:b/>
              </w:rPr>
              <w:t>Ours</w:t>
            </w:r>
          </w:p>
        </w:tc>
        <w:tc>
          <w:tcPr>
            <w:tcW w:type="dxa" w:w="1632"/>
            <w:shd w:val="clear" w:color="auto" w:fill="E8EDF5"/>
            <w:tcBorders>
              <w:top w:val="single" w:sz="4" w:color="BDC3C7"/>
              <w:bottom w:val="single" w:sz="4" w:color="BDC3C7"/>
              <w:left w:val="single" w:sz="4" w:color="BDC3C7"/>
              <w:right w:val="single" w:sz="4" w:color="BDC3C7"/>
            </w:tcBorders>
          </w:tcPr>
          <w:p>
            <w:r>
              <w:rPr>
                <w:b/>
              </w:rPr>
              <w:t>Δ EPS</w:t>
            </w:r>
          </w:p>
        </w:tc>
        <w:tc>
          <w:tcPr>
            <w:tcW w:type="dxa" w:w="1632"/>
            <w:shd w:val="clear" w:color="auto" w:fill="E8EDF5"/>
            <w:tcBorders>
              <w:top w:val="single" w:sz="4" w:color="BDC3C7"/>
              <w:bottom w:val="single" w:sz="4" w:color="BDC3C7"/>
              <w:left w:val="single" w:sz="4" w:color="BDC3C7"/>
              <w:right w:val="single" w:sz="4" w:color="BDC3C7"/>
            </w:tcBorders>
          </w:tcPr>
          <w:p>
            <w:r>
              <w:rPr>
                <w:b/>
              </w:rPr>
              <w:t>Category</w:t>
            </w:r>
          </w:p>
        </w:tc>
      </w:tr>
      <w:tr>
        <w:tc>
          <w:tcPr>
            <w:tcW w:type="dxa" w:w="1632"/>
            <w:tcBorders>
              <w:top w:val="single" w:sz="4" w:color="BDC3C7"/>
              <w:bottom w:val="single" w:sz="4" w:color="BDC3C7"/>
              <w:left w:val="single" w:sz="4" w:color="BDC3C7"/>
              <w:right w:val="single" w:sz="4" w:color="BDC3C7"/>
            </w:tcBorders>
          </w:tcPr>
          <w:p>
            <w:r>
              <w:t>1</w:t>
            </w:r>
          </w:p>
        </w:tc>
        <w:tc>
          <w:tcPr>
            <w:tcW w:type="dxa" w:w="1632"/>
            <w:tcBorders>
              <w:top w:val="single" w:sz="4" w:color="BDC3C7"/>
              <w:bottom w:val="single" w:sz="4" w:color="BDC3C7"/>
              <w:left w:val="single" w:sz="4" w:color="BDC3C7"/>
              <w:right w:val="single" w:sz="4" w:color="BDC3C7"/>
            </w:tcBorders>
          </w:tcPr>
          <w:p>
            <w:r>
              <w:t>Cons +FY Rev</w:t>
            </w:r>
          </w:p>
        </w:tc>
        <w:tc>
          <w:tcPr>
            <w:tcW w:type="dxa" w:w="1632"/>
            <w:tcBorders>
              <w:top w:val="single" w:sz="4" w:color="BDC3C7"/>
              <w:bottom w:val="single" w:sz="4" w:color="BDC3C7"/>
              <w:left w:val="single" w:sz="4" w:color="BDC3C7"/>
              <w:right w:val="single" w:sz="4" w:color="BDC3C7"/>
            </w:tcBorders>
          </w:tcPr>
          <w:p>
            <w:r>
              <w:t>$219M</w:t>
            </w:r>
          </w:p>
        </w:tc>
        <w:tc>
          <w:tcPr>
            <w:tcW w:type="dxa" w:w="1632"/>
            <w:tcBorders>
              <w:top w:val="single" w:sz="4" w:color="BDC3C7"/>
              <w:bottom w:val="single" w:sz="4" w:color="BDC3C7"/>
              <w:left w:val="single" w:sz="4" w:color="BDC3C7"/>
              <w:right w:val="single" w:sz="4" w:color="BDC3C7"/>
            </w:tcBorders>
          </w:tcPr>
          <w:p>
            <w:r>
              <w:t>$175M</w:t>
            </w:r>
          </w:p>
        </w:tc>
        <w:tc>
          <w:tcPr>
            <w:tcW w:type="dxa" w:w="1632"/>
            <w:tcBorders>
              <w:top w:val="single" w:sz="4" w:color="BDC3C7"/>
              <w:bottom w:val="single" w:sz="4" w:color="BDC3C7"/>
              <w:left w:val="single" w:sz="4" w:color="BDC3C7"/>
              <w:right w:val="single" w:sz="4" w:color="BDC3C7"/>
            </w:tcBorders>
          </w:tcPr>
          <w:p>
            <w:r>
              <w:t>-0.25</w:t>
            </w:r>
          </w:p>
        </w:tc>
        <w:tc>
          <w:tcPr>
            <w:tcW w:type="dxa" w:w="1632"/>
            <w:tcBorders>
              <w:top w:val="single" w:sz="4" w:color="BDC3C7"/>
              <w:bottom w:val="single" w:sz="4" w:color="BDC3C7"/>
              <w:left w:val="single" w:sz="4" w:color="BDC3C7"/>
              <w:right w:val="single" w:sz="4" w:color="BDC3C7"/>
            </w:tcBorders>
          </w:tcPr>
          <w:p>
            <w:r>
              <w:t>synthesis</w:t>
            </w:r>
          </w:p>
        </w:tc>
      </w:tr>
      <w:tr>
        <w:tc>
          <w:tcPr>
            <w:tcW w:type="dxa" w:w="1632"/>
            <w:tcBorders>
              <w:top w:val="single" w:sz="4" w:color="BDC3C7"/>
              <w:bottom w:val="single" w:sz="4" w:color="BDC3C7"/>
              <w:left w:val="single" w:sz="4" w:color="BDC3C7"/>
              <w:right w:val="single" w:sz="4" w:color="BDC3C7"/>
            </w:tcBorders>
          </w:tcPr>
          <w:p>
            <w:r>
              <w:t>2</w:t>
            </w:r>
          </w:p>
        </w:tc>
        <w:tc>
          <w:tcPr>
            <w:tcW w:type="dxa" w:w="1632"/>
            <w:tcBorders>
              <w:top w:val="single" w:sz="4" w:color="BDC3C7"/>
              <w:bottom w:val="single" w:sz="4" w:color="BDC3C7"/>
              <w:left w:val="single" w:sz="4" w:color="BDC3C7"/>
              <w:right w:val="single" w:sz="4" w:color="BDC3C7"/>
            </w:tcBorders>
          </w:tcPr>
          <w:p>
            <w:r>
              <w:t>Cons +FY EPS</w:t>
            </w:r>
          </w:p>
        </w:tc>
        <w:tc>
          <w:tcPr>
            <w:tcW w:type="dxa" w:w="1632"/>
            <w:tcBorders>
              <w:top w:val="single" w:sz="4" w:color="BDC3C7"/>
              <w:bottom w:val="single" w:sz="4" w:color="BDC3C7"/>
              <w:left w:val="single" w:sz="4" w:color="BDC3C7"/>
              <w:right w:val="single" w:sz="4" w:color="BDC3C7"/>
            </w:tcBorders>
          </w:tcPr>
          <w:p>
            <w:r>
              <w:t>+75.0%</w:t>
            </w:r>
          </w:p>
        </w:tc>
        <w:tc>
          <w:tcPr>
            <w:tcW w:type="dxa" w:w="1632"/>
            <w:tcBorders>
              <w:top w:val="single" w:sz="4" w:color="BDC3C7"/>
              <w:bottom w:val="single" w:sz="4" w:color="BDC3C7"/>
              <w:left w:val="single" w:sz="4" w:color="BDC3C7"/>
              <w:right w:val="single" w:sz="4" w:color="BDC3C7"/>
            </w:tcBorders>
          </w:tcPr>
          <w:p>
            <w:r>
              <w:t>+45.0%</w:t>
            </w:r>
          </w:p>
        </w:tc>
        <w:tc>
          <w:tcPr>
            <w:tcW w:type="dxa" w:w="1632"/>
            <w:tcBorders>
              <w:top w:val="single" w:sz="4" w:color="BDC3C7"/>
              <w:bottom w:val="single" w:sz="4" w:color="BDC3C7"/>
              <w:left w:val="single" w:sz="4" w:color="BDC3C7"/>
              <w:right w:val="single" w:sz="4" w:color="BDC3C7"/>
            </w:tcBorders>
          </w:tcPr>
          <w:p>
            <w:r>
              <w:t>-0.30</w:t>
            </w:r>
          </w:p>
        </w:tc>
        <w:tc>
          <w:tcPr>
            <w:tcW w:type="dxa" w:w="1632"/>
            <w:tcBorders>
              <w:top w:val="single" w:sz="4" w:color="BDC3C7"/>
              <w:bottom w:val="single" w:sz="4" w:color="BDC3C7"/>
              <w:left w:val="single" w:sz="4" w:color="BDC3C7"/>
              <w:right w:val="single" w:sz="4" w:color="BDC3C7"/>
            </w:tcBorders>
          </w:tcPr>
          <w:p>
            <w:r>
              <w:t>interpretation</w:t>
            </w:r>
          </w:p>
        </w:tc>
      </w:tr>
      <w:tr>
        <w:tc>
          <w:tcPr>
            <w:tcW w:type="dxa" w:w="1632"/>
            <w:tcBorders>
              <w:top w:val="single" w:sz="4" w:color="BDC3C7"/>
              <w:bottom w:val="single" w:sz="4" w:color="BDC3C7"/>
              <w:left w:val="single" w:sz="4" w:color="BDC3C7"/>
              <w:right w:val="single" w:sz="4" w:color="BDC3C7"/>
            </w:tcBorders>
          </w:tcPr>
          <w:p>
            <w:r>
              <w:t>3</w:t>
            </w:r>
          </w:p>
        </w:tc>
        <w:tc>
          <w:tcPr>
            <w:tcW w:type="dxa" w:w="1632"/>
            <w:tcBorders>
              <w:top w:val="single" w:sz="4" w:color="BDC3C7"/>
              <w:bottom w:val="single" w:sz="4" w:color="BDC3C7"/>
              <w:left w:val="single" w:sz="4" w:color="BDC3C7"/>
              <w:right w:val="single" w:sz="4" w:color="BDC3C7"/>
            </w:tcBorders>
          </w:tcPr>
          <w:p>
            <w:r>
              <w:t>Cons FY EPS</w:t>
            </w:r>
          </w:p>
        </w:tc>
        <w:tc>
          <w:tcPr>
            <w:tcW w:type="dxa" w:w="1632"/>
            <w:tcBorders>
              <w:top w:val="single" w:sz="4" w:color="BDC3C7"/>
              <w:bottom w:val="single" w:sz="4" w:color="BDC3C7"/>
              <w:left w:val="single" w:sz="4" w:color="BDC3C7"/>
              <w:right w:val="single" w:sz="4" w:color="BDC3C7"/>
            </w:tcBorders>
          </w:tcPr>
          <w:p>
            <w:r>
              <w:t>+30.0%</w:t>
            </w:r>
          </w:p>
        </w:tc>
        <w:tc>
          <w:tcPr>
            <w:tcW w:type="dxa" w:w="1632"/>
            <w:tcBorders>
              <w:top w:val="single" w:sz="4" w:color="BDC3C7"/>
              <w:bottom w:val="single" w:sz="4" w:color="BDC3C7"/>
              <w:left w:val="single" w:sz="4" w:color="BDC3C7"/>
              <w:right w:val="single" w:sz="4" w:color="BDC3C7"/>
            </w:tcBorders>
          </w:tcPr>
          <w:p>
            <w:r>
              <w:t>+38.0%</w:t>
            </w:r>
          </w:p>
        </w:tc>
        <w:tc>
          <w:tcPr>
            <w:tcW w:type="dxa" w:w="1632"/>
            <w:tcBorders>
              <w:top w:val="single" w:sz="4" w:color="BDC3C7"/>
              <w:bottom w:val="single" w:sz="4" w:color="BDC3C7"/>
              <w:left w:val="single" w:sz="4" w:color="BDC3C7"/>
              <w:right w:val="single" w:sz="4" w:color="BDC3C7"/>
            </w:tcBorders>
          </w:tcPr>
          <w:p>
            <w:r>
              <w:t>+0.08</w:t>
            </w:r>
          </w:p>
        </w:tc>
        <w:tc>
          <w:tcPr>
            <w:tcW w:type="dxa" w:w="1632"/>
            <w:tcBorders>
              <w:top w:val="single" w:sz="4" w:color="BDC3C7"/>
              <w:bottom w:val="single" w:sz="4" w:color="BDC3C7"/>
              <w:left w:val="single" w:sz="4" w:color="BDC3C7"/>
              <w:right w:val="single" w:sz="4" w:color="BDC3C7"/>
            </w:tcBorders>
          </w:tcPr>
          <w:p>
            <w:r>
              <w:t>non_public_inference</w:t>
            </w:r>
          </w:p>
        </w:tc>
      </w:tr>
    </w:tbl>
    <w:p>
      <w:pPr>
        <w:pStyle w:val="SubHeading"/>
      </w:pPr>
      <w:r>
        <w:t>Claim 1 — consensus_next_fy_revenue</w:t>
      </w:r>
    </w:p>
    <w:p>
      <w:r>
        <w:t>The $219M FY2027 consensus requires ~53% growth from FY2026's $143M, implying a quarterly run-rate of ~$55M — roughly double Q1 2026's $26.9M actuals. Management has not disclosed a capacity expansion plan with specific dollar amounts or timelines, the permit process remains opaque and variable by management's own admission, and the $100M backlog is a demand signal not a shipment schedule. Our $175M estimate assumes permit flow sustains at current levels but capacity constraints limit the ramp to ~$43-44M/quarter by Q4 2027, consistent with the FY2022 peak of ~$39-40M/quarter achieved under a different (less permit-constrained) regime.</w:t>
      </w:r>
    </w:p>
    <w:p>
      <w:r>
        <w:t>Street anchor: $219M (yfinance consensus (FY2027, range $190M-$252M, 5 analysts)) → Our view: $175M</w:t>
      </w:r>
    </w:p>
    <w:p>
      <w:pPr>
        <w:pStyle w:val="PullQuote"/>
      </w:pPr>
      <w:r>
        <w:t>“Q2 will be expected to be our largest quarter for indium phosphide in AXC's history. This derives from an indium phosphide backlog that has now reached a new high of over $100 million.”  (transcript)</w:t>
      </w:r>
    </w:p>
    <w:p>
      <w:pPr>
        <w:pStyle w:val="PullQuote"/>
      </w:pPr>
      <w:r>
        <w:t>“AXT is strategically adding capacity”  (deck)</w:t>
      </w:r>
    </w:p>
    <w:p>
      <w:pPr>
        <w:pStyle w:val="PullQuote"/>
      </w:pPr>
      <w:r>
        <w:t>“this process is not transparent at all. And we're seeing quite a lot of variability... It's reasonable to assume that there's geopolitics playing into this as well.”  (transcript)</w:t>
      </w:r>
    </w:p>
    <w:p>
      <w:r>
        <w:t>Why not consensus: Sell-side analysts modeling FY2027 top-down from the $100M backlog and hyperscaler CapEx narrative do not reconcile to the quarterly permit-flow constraint or the absence of a disclosed capacity expansion plan; they are extrapolating the demand signal as a revenue signal without the supply-side gating factor. The dodged long-term supply agreement question on the Q1 2026 call — the entire recorded answer was 'Tim? I'll follow up' — is a specific data point that single-quarter analysts hearing the call in isolation would not weight as a structural capacity signal.</w:t>
      </w:r>
    </w:p>
    <w:p>
      <w:pPr>
        <w:pStyle w:val="KillCriteria"/>
      </w:pPr>
      <w:r>
        <w:t>Falsifier: If management discloses a specific capacity expansion plan with dollar amounts and timeline on the Q2 2026 call, or if Q3 2026 revenue prints above $45M, the capacity constraint thesis is disproved and the FY2027 consensus becomes defensible.</w:t>
      </w:r>
    </w:p>
    <w:p>
      <w:pPr>
        <w:pStyle w:val="ListBullet2"/>
      </w:pPr>
      <w:r>
        <w:rPr>
          <w:i/>
        </w:rPr>
        <w:t>→ Research [CONTRADICTS]: Management has publicly disclosed specific capacity expansion plans with quantified timelines: doubling InP capacity in 2026 and again in 2027, with quarterly capacity targets of ~$35M by end-2026 and $65-70M by late 2027/early 2028, backed by $632.5M capital raise. This directly contradicts the claim of no quantified disclosure. (sec.gov)</w:t>
      </w:r>
    </w:p>
    <w:p>
      <w:pPr>
        <w:pStyle w:val="SubHeading"/>
      </w:pPr>
      <w:r>
        <w:t>Claim 2 — consensus_next_fy_eps</w:t>
      </w:r>
    </w:p>
    <w:p>
      <w:r>
        <w:t>The $0.75 FY2027 EPS consensus requires ~$49M of net income on 65.4M shares, implying operating income of ~$50M+ on $219M revenue — a ~23% operating margin. AXT has never sustained operating margins above 15% (peak was ~13% in FY2022 at $141M revenue), and the FY2024 structured financials show SG&amp;A of 24.3% of revenue and R&amp;D of 9.1% — a combined 33.4% OpEx ratio that must compress dramatically to reach 23% operating margins. Our $0.45 estimate assumes $175M revenue, ~33% gross margin, and OpEx of ~$36M (flat to FY2024 levels), yielding ~$21M operating income or ~12% operating margin — consistent with the company's historical peak.</w:t>
      </w:r>
    </w:p>
    <w:p>
      <w:r>
        <w:t>Street anchor: +75.0% (yfinance consensus (FY2027, range $0.50-$1.01, 5 analysts)) → Our view: +45.0%</w:t>
      </w:r>
    </w:p>
    <w:p>
      <w:pPr>
        <w:pStyle w:val="PullQuote"/>
      </w:pPr>
      <w:r>
        <w:t>“Operating Expense* | $35.86 | $31.76 | $35.94 | $30.37 | $23.81 | $22.92”  (deck)</w:t>
      </w:r>
    </w:p>
    <w:p>
      <w:pPr>
        <w:pStyle w:val="PullQuote"/>
      </w:pPr>
      <w:r>
        <w:t>“Gross Margin %* | 24.3% | 18.1% | 37.2% | 34.8% | 31.70% | 29.80%”  (deck)</w:t>
      </w:r>
    </w:p>
    <w:p>
      <w:pPr>
        <w:pStyle w:val="PullQuote"/>
      </w:pPr>
      <w:r>
        <w:t>“Total non-GAAP operating expense in Q1 was $8.6 million compared with $7.5 million in Q4 and $8.5 million in Q1 of 2025.”  (transcript)</w:t>
      </w:r>
    </w:p>
    <w:p>
      <w:r>
        <w:t>Why not consensus: Sell-side analysts applying standard operating leverage models to a company with a 4,600% trailing-year stock run tend to anchor on the revenue growth rate and apply peer-group incremental margins without checking whether the company has ever demonstrated the operating margin structure implied by their EPS estimate. AXT's historical peak operating margin of ~13% (FY2022) is a hard ceiling that requires extraordinary OpEx discipline to breach — discipline that management has not guided toward and that the fixed-cost structure (SG&amp;A + R&amp;D running 33%+ of revenue even at peak) does not support at $219M revenue without a step-change in cost structure.</w:t>
      </w:r>
    </w:p>
    <w:p>
      <w:pPr>
        <w:pStyle w:val="KillCriteria"/>
      </w:pPr>
      <w:r>
        <w:t>Falsifier: If management provides explicit FY2027 operating margin guidance above 18% on any call, or if Q3/Q4 2026 operating margins print above 15% on a sustained basis, the margin ceiling thesis is disproved.</w:t>
      </w:r>
    </w:p>
    <w:p>
      <w:pPr>
        <w:pStyle w:val="SubHeading"/>
      </w:pPr>
      <w:r>
        <w:t>Claim 3 — consensus_fy_eps</w:t>
      </w:r>
    </w:p>
    <w:p>
      <w:r>
        <w:t>The FY2026 EPS consensus of $0.30 appears to underweight operating leverage from fixed-cost absorption as InP revenue scales through H2 2026. Q1 2026 already printed -$0.03 GAAP EPS on $26.9M revenue with 29.6% gross margin; management guided Q2 to be the largest InP quarter in company history from a $100M backlog. At $34M Q2 revenue (consensus) with ~32% gross margin = ~$10.9M gross profit minus ~$8.6M OpEx = ~$2.3M operating income = ~$0.03-0.04/share. H2 2026 at $35-38M/quarter with continued InP mix improvement to ~34-36% gross margin generates $0.05-0.08/quarter. Full-year EPS of $0.35-0.40 is more consistent with the quarterly math than the $0.30 consensus midpoint, suggesting the street is modeling a more conservative H2 ramp than the backlog and permit momentum support.</w:t>
      </w:r>
    </w:p>
    <w:p>
      <w:r>
        <w:t>Street anchor: +30.0% (yfinance consensus (FY2026, range $0.23-$0.38, 5 analysts)) → Our view: +38.0%</w:t>
      </w:r>
    </w:p>
    <w:p>
      <w:pPr>
        <w:pStyle w:val="PullQuote"/>
      </w:pPr>
      <w:r>
        <w:t>“Non-GAAP gross margin was 29.9% compared with 21.5% gross margin in Q4 of 2025 and a negative 6.1% gross margin in Q1 of 2025 last year.”  (transcript)</w:t>
      </w:r>
    </w:p>
    <w:p>
      <w:pPr>
        <w:pStyle w:val="PullQuote"/>
      </w:pPr>
      <w:r>
        <w:t>“Export permits in our first quarter came in slightly better than our guidance and are off to a solid start in Q2.”  (transcript)</w:t>
      </w:r>
    </w:p>
    <w:p>
      <w:pPr>
        <w:pStyle w:val="PullQuote"/>
      </w:pPr>
      <w:r>
        <w:t>“indium phosphide backlog that has now reached a new high of over $100 million”  (transcript)</w:t>
      </w:r>
    </w:p>
    <w:p>
      <w:r>
        <w:t>Why not consensus: The consensus of $0.30 sits at the midpoint of a wide $0.23-$0.38 range, suggesting analysts are not converging on the operating leverage math. The quarterly build from Q1's -$0.03 through Q2's guided record InP quarter through H2 implies a back-half weighted EPS delivery that analysts modeling linearly from the annual consensus may be underestimating. The permit beat pattern (Q3 2025 beat by $7-9M, Q1 2026 beat by $0.9M) suggests the conservative guidance methodology creates systematic upside to quarterly estimates that compounds into full-year EPS upside.</w:t>
      </w:r>
    </w:p>
    <w:p>
      <w:pPr>
        <w:pStyle w:val="KillCriteria"/>
      </w:pPr>
      <w:r>
        <w:t>Falsifier: If Q2 2026 revenue prints below $32M or gross margin falls below 28% (indicating InP mix is lower than the backlog signal implies), the operating leverage thesis is disproved and the $0.30 consensus becomes the ceiling rather than the floor.</w:t>
      </w:r>
    </w:p>
    <w:p>
      <w:r>
        <w:t>Management tone shift in Q1 2025→Q2 2025: InP revenue outlook: confidence_gain — First acknowledgment of actual permit receipt and InP contribution, though still heavily conditioned</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FY2026 Revenue Growth</w:t>
            </w:r>
          </w:p>
        </w:tc>
        <w:tc>
          <w:tcPr>
            <w:tcW w:type="dxa" w:w="2448"/>
            <w:tcBorders>
              <w:top w:val="single" w:sz="4" w:color="BDC3C7"/>
              <w:bottom w:val="single" w:sz="4" w:color="BDC3C7"/>
              <w:left w:val="single" w:sz="4" w:color="BDC3C7"/>
              <w:right w:val="single" w:sz="4" w:color="BDC3C7"/>
            </w:tcBorders>
          </w:tcPr>
          <w:p>
            <w:r>
              <w:rPr>
                <w:b/>
              </w:rPr>
              <w:t>+58.00%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InP revenue ramp from permit normalization</w:t>
            </w:r>
          </w:p>
        </w:tc>
        <w:tc>
          <w:tcPr>
            <w:tcW w:type="dxa" w:w="2448"/>
            <w:tcBorders>
              <w:top w:val="single" w:sz="4" w:color="BDC3C7"/>
              <w:bottom w:val="single" w:sz="4" w:color="BDC3C7"/>
              <w:left w:val="single" w:sz="4" w:color="BDC3C7"/>
              <w:right w:val="single" w:sz="4" w:color="BDC3C7"/>
            </w:tcBorders>
          </w:tcPr>
          <w:p>
            <w:r>
              <w:t>+45.00%</w:t>
            </w:r>
          </w:p>
        </w:tc>
        <w:tc>
          <w:tcPr>
            <w:tcW w:type="dxa" w:w="2448"/>
            <w:tcBorders>
              <w:top w:val="single" w:sz="4" w:color="BDC3C7"/>
              <w:bottom w:val="single" w:sz="4" w:color="BDC3C7"/>
              <w:left w:val="single" w:sz="4" w:color="BDC3C7"/>
              <w:right w:val="single" w:sz="4" w:color="BDC3C7"/>
            </w:tcBorders>
          </w:tcPr>
          <w:p>
            <w:r>
              <w:t>0.65</w:t>
            </w:r>
          </w:p>
        </w:tc>
        <w:tc>
          <w:tcPr>
            <w:tcW w:type="dxa" w:w="2448"/>
            <w:tcBorders>
              <w:top w:val="single" w:sz="4" w:color="BDC3C7"/>
              <w:bottom w:val="single" w:sz="4" w:color="BDC3C7"/>
              <w:left w:val="single" w:sz="4" w:color="BDC3C7"/>
              <w:right w:val="single" w:sz="4" w:color="BDC3C7"/>
            </w:tcBorders>
          </w:tcPr>
          <w:p>
            <w:r>
              <w:t>In the Q1 2026 call, CEO Morris Young stated 'Q2 will be expected to be our largest quarter for indium phosphide in AXC's history. This derives from an indium phosphide backlog that has now reached a new high of over $10</w:t>
            </w:r>
          </w:p>
        </w:tc>
      </w:tr>
      <w:tr>
        <w:tc>
          <w:tcPr>
            <w:tcW w:type="dxa" w:w="2448"/>
            <w:tcBorders>
              <w:top w:val="single" w:sz="4" w:color="BDC3C7"/>
              <w:bottom w:val="single" w:sz="4" w:color="BDC3C7"/>
              <w:left w:val="single" w:sz="4" w:color="BDC3C7"/>
              <w:right w:val="single" w:sz="4" w:color="BDC3C7"/>
            </w:tcBorders>
          </w:tcPr>
          <w:p>
            <w:r>
              <w:t xml:space="preserve">    GaAs and JV revenue stability</w:t>
            </w:r>
          </w:p>
        </w:tc>
        <w:tc>
          <w:tcPr>
            <w:tcW w:type="dxa" w:w="2448"/>
            <w:tcBorders>
              <w:top w:val="single" w:sz="4" w:color="BDC3C7"/>
              <w:bottom w:val="single" w:sz="4" w:color="BDC3C7"/>
              <w:left w:val="single" w:sz="4" w:color="BDC3C7"/>
              <w:right w:val="single" w:sz="4" w:color="BDC3C7"/>
            </w:tcBorders>
          </w:tcPr>
          <w:p>
            <w:r>
              <w:t>+13.00%</w:t>
            </w:r>
          </w:p>
        </w:tc>
        <w:tc>
          <w:tcPr>
            <w:tcW w:type="dxa" w:w="2448"/>
            <w:tcBorders>
              <w:top w:val="single" w:sz="4" w:color="BDC3C7"/>
              <w:bottom w:val="single" w:sz="4" w:color="BDC3C7"/>
              <w:left w:val="single" w:sz="4" w:color="BDC3C7"/>
              <w:right w:val="single" w:sz="4" w:color="BDC3C7"/>
            </w:tcBorders>
          </w:tcPr>
          <w:p>
            <w:r>
              <w:t>0.70</w:t>
            </w:r>
          </w:p>
        </w:tc>
        <w:tc>
          <w:tcPr>
            <w:tcW w:type="dxa" w:w="2448"/>
            <w:tcBorders>
              <w:top w:val="single" w:sz="4" w:color="BDC3C7"/>
              <w:bottom w:val="single" w:sz="4" w:color="BDC3C7"/>
              <w:left w:val="single" w:sz="4" w:color="BDC3C7"/>
              <w:right w:val="single" w:sz="4" w:color="BDC3C7"/>
            </w:tcBorders>
          </w:tcPr>
          <w:p>
            <w:r>
              <w:t>GaAs revenue has been relatively stable at $5-7M/quarter across Q3 2025 through Q1 2026 ($7.0M Q4 2025, $5.4M Q1 2026). JV revenue has been consistently $7-8M/quarter for five consecutive quarters. We model modest growth</w:t>
            </w:r>
          </w:p>
        </w:tc>
      </w:tr>
      <w:tr>
        <w:tc>
          <w:tcPr>
            <w:tcW w:type="dxa" w:w="2448"/>
            <w:tcBorders>
              <w:top w:val="single" w:sz="4" w:color="BDC3C7"/>
              <w:bottom w:val="single" w:sz="4" w:color="BDC3C7"/>
              <w:left w:val="single" w:sz="4" w:color="BDC3C7"/>
              <w:right w:val="single" w:sz="4" w:color="BDC3C7"/>
            </w:tcBorders>
          </w:tcPr>
          <w:p>
            <w:r>
              <w:rPr>
                <w:b/>
              </w:rPr>
              <w:t>FY2027 Revenue Growth</w:t>
            </w:r>
          </w:p>
        </w:tc>
        <w:tc>
          <w:tcPr>
            <w:tcW w:type="dxa" w:w="2448"/>
            <w:tcBorders>
              <w:top w:val="single" w:sz="4" w:color="BDC3C7"/>
              <w:bottom w:val="single" w:sz="4" w:color="BDC3C7"/>
              <w:left w:val="single" w:sz="4" w:color="BDC3C7"/>
              <w:right w:val="single" w:sz="4" w:color="BDC3C7"/>
            </w:tcBorders>
          </w:tcPr>
          <w:p>
            <w:r>
              <w:rPr>
                <w:b/>
              </w:rPr>
              <w:t>+15.00%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Permit-constrained InP capacity ceiling</w:t>
            </w:r>
          </w:p>
        </w:tc>
        <w:tc>
          <w:tcPr>
            <w:tcW w:type="dxa" w:w="2448"/>
            <w:tcBorders>
              <w:top w:val="single" w:sz="4" w:color="BDC3C7"/>
              <w:bottom w:val="single" w:sz="4" w:color="BDC3C7"/>
              <w:left w:val="single" w:sz="4" w:color="BDC3C7"/>
              <w:right w:val="single" w:sz="4" w:color="BDC3C7"/>
            </w:tcBorders>
          </w:tcPr>
          <w:p>
            <w:r>
              <w:t>+15.00%</w:t>
            </w:r>
          </w:p>
        </w:tc>
        <w:tc>
          <w:tcPr>
            <w:tcW w:type="dxa" w:w="2448"/>
            <w:tcBorders>
              <w:top w:val="single" w:sz="4" w:color="BDC3C7"/>
              <w:bottom w:val="single" w:sz="4" w:color="BDC3C7"/>
              <w:left w:val="single" w:sz="4" w:color="BDC3C7"/>
              <w:right w:val="single" w:sz="4" w:color="BDC3C7"/>
            </w:tcBorders>
          </w:tcPr>
          <w:p>
            <w:r>
              <w:t>0.45</w:t>
            </w:r>
          </w:p>
        </w:tc>
        <w:tc>
          <w:tcPr>
            <w:tcW w:type="dxa" w:w="2448"/>
            <w:tcBorders>
              <w:top w:val="single" w:sz="4" w:color="BDC3C7"/>
              <w:bottom w:val="single" w:sz="4" w:color="BDC3C7"/>
              <w:left w:val="single" w:sz="4" w:color="BDC3C7"/>
              <w:right w:val="single" w:sz="4" w:color="BDC3C7"/>
            </w:tcBorders>
          </w:tcPr>
          <w:p>
            <w:r>
              <w:t>The street models 53% FY2027 growth ($219M from $143M). Our 25% growth estimate ($175M from $140M) reflects: (1) management has not disclosed a specific capacity expansion plan with dollar amounts or timelines — the deck</w:t>
            </w:r>
          </w:p>
        </w:tc>
      </w:tr>
    </w:tbl>
    <w:p>
      <w:pPr>
        <w:pStyle w:val="SubHeading"/>
      </w:pPr>
      <w:r>
        <w:t>Bear revisions:</w:t>
      </w:r>
    </w:p>
    <w:p>
      <w:pPr>
        <w:pStyle w:val="ListBullet"/>
      </w:pPr>
      <w:r>
        <w:t>FY2027 Revenue Growth.Permit-constrained InP capacity ceiling: 25.0 → 10.0 — If geopolitical tensions escalate and China's Ministry of Commerce reverts to the Q4 2025 pattern of high permit variability, or if customer inventory builds from the current supply-constrained environment lead to order digestion in H2 2026, FY2027 revenue growth could be limited to ~10% ($154M), consistent with a normalization of the permit-driven pull-forward. The CFO's 72% stake liquidation at $43/share in March 2026 — before the stock reached $111/share — could reflect internal visibility into H2 2026 permit variability that the market has not yet priced.</w:t>
      </w:r>
    </w:p>
    <w:p>
      <w:pPr>
        <w:pStyle w:val="SubHeading"/>
      </w:pPr>
      <w:r>
        <w:t>Comp decomposition check:</w:t>
      </w:r>
    </w:p>
    <w:p>
      <w:pPr>
        <w:pStyle w:val="ListBullet"/>
      </w:pPr>
      <w:r>
        <w:t>Schema mismatch: peer comps fit 'semiconductors' but the brief picked 'general'. The mechanical model will use generic defaults; final EPS may be unreliable.</w:t>
      </w:r>
    </w:p>
    <w:p>
      <w:pPr>
        <w:pStyle w:val="ListBullet"/>
      </w:pPr>
      <w:r>
        <w:t>Thin brief drivers (2 drivers / 3 components) on schema 'general'. The mechanical model and edge variant back-solve may be unreliable.</w:t>
      </w:r>
    </w:p>
    <w:p>
      <w:pPr>
        <w:pStyle w:val="ListBullet"/>
      </w:pPr>
      <w:r>
        <w:rPr>
          <w:i/>
        </w:rPr>
        <w:t>→ Research: Search confirms permit scarcity and pricing pressure (250% wafer price surge since Feb 2025), but evidence shows AXT building inventory deliberately to meet surging demand, not customers building buffer stock. Supply gap persists through 2026-2027 with 70%+ deficit, supporting sustained pricing power rather than demand air-pocket risk. (biggo.com)</w:t>
      </w:r>
    </w:p>
    <w:p>
      <w:pPr>
        <w:pStyle w:val="SectionHeading"/>
      </w:pPr>
      <w:r>
        <w:t>3. Consensus Gap &amp; Valuation</w:t>
      </w:r>
    </w:p>
    <w:p>
      <w:r>
        <w:t>Our EPS: $0.38  =  baseline $0.30  +  Σ claim impacts $+0.08 (26.3% above consensus $0.30)</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guidance midpoint;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$0.30</w:t>
            </w:r>
          </w:p>
        </w:tc>
      </w:tr>
      <w:tr>
        <w:tc>
          <w:tcPr>
            <w:tcW w:type="dxa" w:w="2448"/>
            <w:tcBorders>
              <w:top w:val="single" w:sz="4" w:color="BDC3C7"/>
              <w:bottom w:val="single" w:sz="4" w:color="BDC3C7"/>
              <w:left w:val="single" w:sz="4" w:color="BDC3C7"/>
              <w:right w:val="single" w:sz="4" w:color="BDC3C7"/>
            </w:tcBorders>
          </w:tcPr>
          <w:p>
            <w:r>
              <w:t>EPS (direct)</w:t>
            </w:r>
          </w:p>
        </w:tc>
        <w:tc>
          <w:tcPr>
            <w:tcW w:type="dxa" w:w="2448"/>
            <w:tcBorders>
              <w:top w:val="single" w:sz="4" w:color="BDC3C7"/>
              <w:bottom w:val="single" w:sz="4" w:color="BDC3C7"/>
              <w:left w:val="single" w:sz="4" w:color="BDC3C7"/>
              <w:right w:val="single" w:sz="4" w:color="BDC3C7"/>
            </w:tcBorders>
          </w:tcPr>
          <w:p>
            <w:r>
              <w:t>Cons FY EPS</w:t>
              <w:br/>
              <w:t>+30.0% → +38.0% (Δ +8.0%)</w:t>
            </w:r>
          </w:p>
        </w:tc>
        <w:tc>
          <w:tcPr>
            <w:tcW w:type="dxa" w:w="2448"/>
            <w:tcBorders>
              <w:top w:val="single" w:sz="4" w:color="BDC3C7"/>
              <w:bottom w:val="single" w:sz="4" w:color="BDC3C7"/>
              <w:left w:val="single" w:sz="4" w:color="BDC3C7"/>
              <w:right w:val="single" w:sz="4" w:color="BDC3C7"/>
            </w:tcBorders>
          </w:tcPr>
          <w:p>
            <w:r>
              <w:t>Direct EPS delta: $+0.08/share</w:t>
            </w:r>
          </w:p>
        </w:tc>
        <w:tc>
          <w:tcPr>
            <w:tcW w:type="dxa" w:w="2448"/>
            <w:tcBorders>
              <w:top w:val="single" w:sz="4" w:color="BDC3C7"/>
              <w:bottom w:val="single" w:sz="4" w:color="BDC3C7"/>
              <w:left w:val="single" w:sz="4" w:color="BDC3C7"/>
              <w:right w:val="single" w:sz="4" w:color="BDC3C7"/>
            </w:tcBorders>
          </w:tcPr>
          <w:p>
            <w:r>
              <w:t>+0.08</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+0.08</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$0.38</w:t>
            </w:r>
          </w:p>
        </w:tc>
      </w:tr>
    </w:tbl>
    <w:p>
      <w:pPr>
        <w:pStyle w:val="PullQuote"/>
      </w:pPr>
      <w:r>
        <w:t xml:space="preserve">  ⚠ 2 claim(s) target a different fiscal period than the current_fy baseline and weren't summed: consensus_next_fy_revenue, consensus_next_fy_eps</w:t>
      </w:r>
    </w:p>
    <w:p>
      <w:r>
        <w:t>Our estimate is $0.08 (26.3%) above consensus $0.30. No single driver within plausible bounds can close the gap to consensus when other drivers are held at our values; the EPS variant is diffuse (top magnitude: FY2026 Revenue Growth.InP revenue ramp from permit normalization). Variant appears NOT fully priced in based on available market data. Next catalyst: Next quarterly earnings report (2026-07-30 (36 days)). Time horizon: swing.</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FY2026 Revenue Growth.InP revenue ramp from permit normalization</w:t>
            </w:r>
          </w:p>
        </w:tc>
        <w:tc>
          <w:tcPr>
            <w:tcW w:type="dxa" w:w="1958"/>
            <w:tcBorders>
              <w:top w:val="single" w:sz="4" w:color="BDC3C7"/>
              <w:bottom w:val="single" w:sz="4" w:color="BDC3C7"/>
              <w:left w:val="single" w:sz="4" w:color="BDC3C7"/>
              <w:right w:val="single" w:sz="4" w:color="BDC3C7"/>
            </w:tcBorders>
          </w:tcPr>
          <w:p>
            <w:r>
              <w:t>+45.00</w:t>
            </w:r>
          </w:p>
        </w:tc>
        <w:tc>
          <w:tcPr>
            <w:tcW w:type="dxa" w:w="1958"/>
            <w:tcBorders>
              <w:top w:val="single" w:sz="4" w:color="BDC3C7"/>
              <w:bottom w:val="single" w:sz="4" w:color="BDC3C7"/>
              <w:left w:val="single" w:sz="4" w:color="BDC3C7"/>
              <w:right w:val="single" w:sz="4" w:color="BDC3C7"/>
            </w:tcBorders>
          </w:tcPr>
          <w:p>
            <w:r>
              <w:t>+45.00</w:t>
            </w:r>
          </w:p>
        </w:tc>
        <w:tc>
          <w:tcPr>
            <w:tcW w:type="dxa" w:w="1958"/>
            <w:tcBorders>
              <w:top w:val="single" w:sz="4" w:color="BDC3C7"/>
              <w:bottom w:val="single" w:sz="4" w:color="BDC3C7"/>
              <w:left w:val="single" w:sz="4" w:color="BDC3C7"/>
              <w:right w:val="single" w:sz="4" w:color="BDC3C7"/>
            </w:tcBorders>
          </w:tcPr>
          <w:p>
            <w:r>
              <w:t>+0.000</w:t>
            </w:r>
          </w:p>
        </w:tc>
        <w:tc>
          <w:tcPr>
            <w:tcW w:type="dxa" w:w="1958"/>
            <w:tcBorders>
              <w:top w:val="single" w:sz="4" w:color="BDC3C7"/>
              <w:bottom w:val="single" w:sz="4" w:color="BDC3C7"/>
              <w:left w:val="single" w:sz="4" w:color="BDC3C7"/>
              <w:right w:val="single" w:sz="4" w:color="BDC3C7"/>
            </w:tcBorders>
          </w:tcPr>
          <w:p>
            <w:r>
              <w:t>0.50</w:t>
            </w:r>
          </w:p>
        </w:tc>
      </w:tr>
      <w:tr>
        <w:tc>
          <w:tcPr>
            <w:tcW w:type="dxa" w:w="1958"/>
            <w:tcBorders>
              <w:top w:val="single" w:sz="4" w:color="BDC3C7"/>
              <w:bottom w:val="single" w:sz="4" w:color="BDC3C7"/>
              <w:left w:val="single" w:sz="4" w:color="BDC3C7"/>
              <w:right w:val="single" w:sz="4" w:color="BDC3C7"/>
            </w:tcBorders>
          </w:tcPr>
          <w:p>
            <w:r>
              <w:t>FY2026 Revenue Growth.GaAs and JV revenue stability</w:t>
            </w:r>
          </w:p>
        </w:tc>
        <w:tc>
          <w:tcPr>
            <w:tcW w:type="dxa" w:w="1958"/>
            <w:tcBorders>
              <w:top w:val="single" w:sz="4" w:color="BDC3C7"/>
              <w:bottom w:val="single" w:sz="4" w:color="BDC3C7"/>
              <w:left w:val="single" w:sz="4" w:color="BDC3C7"/>
              <w:right w:val="single" w:sz="4" w:color="BDC3C7"/>
            </w:tcBorders>
          </w:tcPr>
          <w:p>
            <w:r>
              <w:t>+13.00</w:t>
            </w:r>
          </w:p>
        </w:tc>
        <w:tc>
          <w:tcPr>
            <w:tcW w:type="dxa" w:w="1958"/>
            <w:tcBorders>
              <w:top w:val="single" w:sz="4" w:color="BDC3C7"/>
              <w:bottom w:val="single" w:sz="4" w:color="BDC3C7"/>
              <w:left w:val="single" w:sz="4" w:color="BDC3C7"/>
              <w:right w:val="single" w:sz="4" w:color="BDC3C7"/>
            </w:tcBorders>
          </w:tcPr>
          <w:p>
            <w:r>
              <w:t>+13.00</w:t>
            </w:r>
          </w:p>
        </w:tc>
        <w:tc>
          <w:tcPr>
            <w:tcW w:type="dxa" w:w="1958"/>
            <w:tcBorders>
              <w:top w:val="single" w:sz="4" w:color="BDC3C7"/>
              <w:bottom w:val="single" w:sz="4" w:color="BDC3C7"/>
              <w:left w:val="single" w:sz="4" w:color="BDC3C7"/>
              <w:right w:val="single" w:sz="4" w:color="BDC3C7"/>
            </w:tcBorders>
          </w:tcPr>
          <w:p>
            <w:r>
              <w:t>+0.000</w:t>
            </w:r>
          </w:p>
        </w:tc>
        <w:tc>
          <w:tcPr>
            <w:tcW w:type="dxa" w:w="1958"/>
            <w:tcBorders>
              <w:top w:val="single" w:sz="4" w:color="BDC3C7"/>
              <w:bottom w:val="single" w:sz="4" w:color="BDC3C7"/>
              <w:left w:val="single" w:sz="4" w:color="BDC3C7"/>
              <w:right w:val="single" w:sz="4" w:color="BDC3C7"/>
            </w:tcBorders>
          </w:tcPr>
          <w:p>
            <w:r>
              <w:t>0.55</w:t>
            </w:r>
          </w:p>
        </w:tc>
      </w:tr>
      <w:tr>
        <w:tc>
          <w:tcPr>
            <w:tcW w:type="dxa" w:w="1958"/>
            <w:tcBorders>
              <w:top w:val="single" w:sz="4" w:color="BDC3C7"/>
              <w:bottom w:val="single" w:sz="4" w:color="BDC3C7"/>
              <w:left w:val="single" w:sz="4" w:color="BDC3C7"/>
              <w:right w:val="single" w:sz="4" w:color="BDC3C7"/>
            </w:tcBorders>
          </w:tcPr>
          <w:p>
            <w:r>
              <w:t>FY2027 Revenue Growth.Permit-constrained InP capacity ceiling</w:t>
            </w:r>
          </w:p>
        </w:tc>
        <w:tc>
          <w:tcPr>
            <w:tcW w:type="dxa" w:w="1958"/>
            <w:tcBorders>
              <w:top w:val="single" w:sz="4" w:color="BDC3C7"/>
              <w:bottom w:val="single" w:sz="4" w:color="BDC3C7"/>
              <w:left w:val="single" w:sz="4" w:color="BDC3C7"/>
              <w:right w:val="single" w:sz="4" w:color="BDC3C7"/>
            </w:tcBorders>
          </w:tcPr>
          <w:p>
            <w:r>
              <w:t>+15.00</w:t>
            </w:r>
          </w:p>
        </w:tc>
        <w:tc>
          <w:tcPr>
            <w:tcW w:type="dxa" w:w="1958"/>
            <w:tcBorders>
              <w:top w:val="single" w:sz="4" w:color="BDC3C7"/>
              <w:bottom w:val="single" w:sz="4" w:color="BDC3C7"/>
              <w:left w:val="single" w:sz="4" w:color="BDC3C7"/>
              <w:right w:val="single" w:sz="4" w:color="BDC3C7"/>
            </w:tcBorders>
          </w:tcPr>
          <w:p>
            <w:r>
              <w:t>+15.00</w:t>
            </w:r>
          </w:p>
        </w:tc>
        <w:tc>
          <w:tcPr>
            <w:tcW w:type="dxa" w:w="1958"/>
            <w:tcBorders>
              <w:top w:val="single" w:sz="4" w:color="BDC3C7"/>
              <w:bottom w:val="single" w:sz="4" w:color="BDC3C7"/>
              <w:left w:val="single" w:sz="4" w:color="BDC3C7"/>
              <w:right w:val="single" w:sz="4" w:color="BDC3C7"/>
            </w:tcBorders>
          </w:tcPr>
          <w:p>
            <w:r>
              <w:t>+0.000</w:t>
            </w:r>
          </w:p>
        </w:tc>
        <w:tc>
          <w:tcPr>
            <w:tcW w:type="dxa" w:w="1958"/>
            <w:tcBorders>
              <w:top w:val="single" w:sz="4" w:color="BDC3C7"/>
              <w:bottom w:val="single" w:sz="4" w:color="BDC3C7"/>
              <w:left w:val="single" w:sz="4" w:color="BDC3C7"/>
              <w:right w:val="single" w:sz="4" w:color="BDC3C7"/>
            </w:tcBorders>
          </w:tcPr>
          <w:p>
            <w:r>
              <w:t>0.20</w:t>
            </w:r>
          </w:p>
        </w:tc>
      </w:tr>
    </w:tbl>
    <w:p>
      <w:r>
        <w:t>Priced in: not fully — Variant (+26.3%) exceeds implied move (18.7%). Short interest 11.7% supports</w:t>
      </w:r>
    </w:p>
    <w:p>
      <w:r>
        <w:t>Edge verdict: ACTIONABLE_EDGE (score 0.280).</w:t>
      </w:r>
    </w:p>
    <w:p>
      <w:pPr>
        <w:pStyle w:val="SectionHeading"/>
      </w:pPr>
      <w:r>
        <w:t>4. Catalysts</w:t>
      </w:r>
    </w:p>
    <w:p>
      <w:pPr>
        <w:pStyle w:val="ListBullet"/>
      </w:pPr>
      <w:r>
        <w:t>Next quarterly earnings report (2026-07-30 (36 days)) — resolves revenue + margins + guidance; confirms or challenges</w:t>
      </w:r>
    </w:p>
    <w:p>
      <w:pPr>
        <w:pStyle w:val="ListBullet"/>
      </w:pPr>
      <w:r>
        <w:t>Resolution: The $100M InP backlog converts to revenue in 2-3 quarters, driving FY2026 to $14 (Multi-year thesis -- patience required) — resolves FY2027 Revenue Growth; confirms or challenges</w:t>
      </w:r>
    </w:p>
    <w:p>
      <w:pPr>
        <w:pStyle w:val="ListBullet"/>
      </w:pPr>
      <w:r>
        <w:t>Resolution: AXT has a durable 40% global InP market share moat protected by VGF technology a (Multi-year thesis -- patience required) — resolves FY2027 Revenue Growth; confirms or challenges</w:t>
      </w:r>
    </w:p>
    <w:p>
      <w:pPr>
        <w:pStyle w:val="ListBullet"/>
      </w:pPr>
      <w:r>
        <w:t>Resolution: Insider selling is routine diversification after a 4,600% stock run (Multi-year thesis -- patience required) — resolves FY2026 Revenue Growth; confirms or challenges</w:t>
      </w:r>
    </w:p>
    <w:p>
      <w:pPr>
        <w:pStyle w:val="ListBullet"/>
      </w:pPr>
      <w:r>
        <w:t>Specific InP manufacturing capacity in wafers/month or revenue equivalent — management states 'strat (Unknown timing) — resolves multiple; resolves uncertainty</w:t>
      </w:r>
    </w:p>
    <w:p>
      <w:pPr>
        <w:pStyle w:val="ListBullet"/>
      </w:pPr>
      <w:r>
        <w:t>Export permit approval rate and rejection rate — management has never disclosed what percentage of p (Unknown timing) — resolves multiple; resolves uncertainty</w:t>
      </w:r>
    </w:p>
    <w:p>
      <w:pPr>
        <w:pStyle w:val="SectionHeading"/>
      </w:pPr>
      <w:r>
        <w:t>5. Risks, Blind Spots &amp; Kill Criteria</w:t>
      </w:r>
    </w:p>
    <w:p>
      <w:pPr>
        <w:pStyle w:val="SubHeading"/>
      </w:pPr>
      <w:r>
        <w:t>Top risks:</w:t>
      </w:r>
    </w:p>
    <w:p>
      <w:pPr>
        <w:pStyle w:val="ListBullet"/>
      </w:pPr>
      <w:r>
        <w:t>Insider selling is routine diversification after a 4,600% stock run — counter: CFO Gary Fischer sold 72.1% of his pre-sale stake ($21.3M across 2 filings in March 2026 at avg $43.10/share). Director Jesse Chen sold 76.1% of his pre-sale stake ($10.3M across 10 filings). Director David Chang sold 51.2% of his pre-sale stake. CEO Morris Young sold 20.7% of his stake ($37.5M). Total: ~$72M in open-market sales across four insiders with zero insider purchases over the past year (31 sells, 0 buys per GuruFocus). The CFO liquidating 72% of his position is the most concerning data point — CFOs have the most granular near-term earnings visibility and this level of liquidation goes beyond routine diversification. [serious]</w:t>
      </w:r>
    </w:p>
    <w:p>
      <w:pPr>
        <w:pStyle w:val="ListBullet2"/>
      </w:pPr>
      <w:r>
        <w:rPr>
          <w:i/>
        </w:rPr>
        <w:t>→ Research [CONTRADICTS]: Form 4 filings confirm Chen and Chang director sales in March 2026, but Chen's March sales totaled ~$700K (not $10.3M), and the 76.1% and 51% stake reduction percentages cannot be verified from SEC filings. No CFO simultaneous sales identified. (stocktitan.net)</w:t>
      </w:r>
    </w:p>
    <w:p>
      <w:pPr>
        <w:pStyle w:val="ListBullet"/>
      </w:pPr>
      <w:r>
        <w:t>Operating leverage will drive FY2027 EPS to $0.75 as revenue scales to $219M — counter: AXT has never sustained operating margins above ~13% (FY2022 peak). The FY2024 structured financials show SG&amp;A of 24.3% and R&amp;D of 9.1% of revenue — a combined 33.4% OpEx ratio. To reach $0.75 EPS on $219M revenue requires ~$49M net income, implying ~$50M operating income or ~23% operating margin. This would require OpEx to compress from 33.4% to ~15% of revenue — a compression that would require either dramatic revenue scaling without OpEx investment (inconsistent with the capacity expansion narrative) or significant cost cuts (not guided). The historical peak operating margin of ~13% in FY2022 at $141M revenue is the relevant benchmark. [serious]</w:t>
      </w:r>
    </w:p>
    <w:p>
      <w:pPr>
        <w:pStyle w:val="ListBullet"/>
      </w:pPr>
      <w:r>
        <w:t>The $100M InP backlog converts to revenue in 2-3 quarters, driving FY2026 to $143M and setting up FY2027 at $219M — counter: Management explicitly stated in Q4 2025 that the permit process 'is not transparent at all' with 'a lot more variability' than the initially-assumed 60-business-day cadence. The Q3 2025 beat ($28M vs $19-21M guide) was driven by permits arriving that were explicitly excluded from guidance — meaning the guide methodology is conservative but the upside is lumpy and unpredictable. The Q2 2025 miss ($18M vs $20-22M guide) occurred even after management had already excluded outside-China InP from the guide, suggesting non-InP products also underperformed. The backlog of $100M does not have a disclosed conversion timeline, and management dodged the long-term supply agreement question entirely on the Q1 2026 call. [moderate]</w:t>
      </w:r>
    </w:p>
    <w:p>
      <w:pPr>
        <w:pStyle w:val="KillCriteria"/>
      </w:pPr>
      <w:r>
        <w:t>What would change our mind: Unable to close gap: Specific InP manufacturing capacity in wafers/month or revenue equivalent — management states 'strategically adding capacity' but provides no quantification; this is the single most important missing data point for the FY2027 model</w:t>
      </w:r>
    </w:p>
    <w:p>
      <w:pPr>
        <w:pStyle w:val="SectionHeading"/>
      </w:pPr>
      <w:r>
        <w:t>Appendix</w:t>
      </w:r>
    </w:p>
    <w:p>
      <w:pPr>
        <w:pStyle w:val="SubHeading"/>
      </w:pPr>
      <w:r>
        <w:t>Business context:</w:t>
      </w:r>
    </w:p>
    <w:p>
      <w:r>
        <w:t>AXT Inc. manufactures compound semiconductor wafer substrates — primarily indium phosphide (InP) for AI/data center optical transceivers and gallium arsenide (GaAs) for wireless RF and laser applications — from China-based facilities. Revenue is gated by Chinese government export permits for InP shipments outside China, creating a structurally permit-dependent revenue recognition model supplemented by consolidated raw material joint venture revenue (~$7-8M/quarter, stable).</w:t>
      </w:r>
    </w:p>
    <w:p>
      <w:pPr>
        <w:pStyle w:val="SubHeading"/>
      </w:pPr>
      <w:r>
        <w:t>Evidence gaps (research TODO):</w:t>
      </w:r>
    </w:p>
    <w:p>
      <w:pPr>
        <w:pStyle w:val="ListBullet"/>
      </w:pPr>
      <w:r>
        <w:t>Specific InP manufacturing capacity in wafers/month or revenue equivalent — management states 'strategically adding capacity' but provides no quantification; this is the single most important missing data point for the FY2027 model</w:t>
      </w:r>
    </w:p>
    <w:p>
      <w:pPr>
        <w:pStyle w:val="ListBullet"/>
      </w:pPr>
      <w:r>
        <w:t>Export permit approval rate and rejection rate — management has never disclosed what percentage of permit applications are approved vs. rejected vs. delayed; this is critical for modeling revenue conversion from the $100M backlog</w:t>
      </w:r>
    </w:p>
    <w:p>
      <w:pPr>
        <w:pStyle w:val="ListBullet"/>
      </w:pPr>
      <w:r>
        <w:t>InP substrate pricing per wafer and ASP trajectory — no per-unit economics disclosed; understanding whether pricing is stable, rising (supply-constrained premium), or falling (normalizing) is essential for margin modeling</w:t>
      </w:r>
    </w:p>
    <w:p>
      <w:pPr>
        <w:pStyle w:val="ListBullet"/>
      </w:pPr>
      <w:r>
        <w:t>Tongmei STAR Market IPO status and proceeds — the IPO application has been under CSRC review since July 2022 with no disclosed timeline; if completed, proceeds could fund capacity expansion that changes the FY2027 model materially</w:t>
      </w:r>
    </w:p>
    <w:p>
      <w:pPr>
        <w:pStyle w:val="ListBullet"/>
      </w:pPr>
      <w:r>
        <w:t>Customer inventory levels at tier-one laser manufacturers and transceiver module makers — management acknowledges customers are 'building inventory levels' (Q3 2025 call) but provides no quantification; inventory digestion risk is unquantifiable without this data</w:t>
      </w:r>
    </w:p>
    <w:p>
      <w:pPr>
        <w:pStyle w:val="ListBullet"/>
      </w:pPr>
      <w:r>
        <w:t>Long-term supply agreement status — the Q1 2026 call question on this was dodged entirely; the existence or absence of take-or-pay agreements would materially change the revenue visibility and backlog conversion confidence</w:t>
      </w:r>
    </w:p>
    <w:p>
      <w:pPr>
        <w:pStyle w:val="ListBullet"/>
      </w:pPr>
      <w:r>
        <w:t>CFO Gary Fischer's rationale for selling 72% of his stake in March 2026 — no public explanation provided; this is the most significant unexplained insider transaction in the corpus</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