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CELH — CELH</w:t>
      </w:r>
    </w:p>
    <w:p>
      <w:pPr>
        <w:pStyle w:val="SmallMeta"/>
      </w:pPr>
      <w:r>
        <w:t>As of 2026-06-22  |  Schema: general  |  Data: polygon+alpha_vantage (FY2025)</w:t>
      </w:r>
    </w:p>
    <w:p>
      <w:pPr>
        <w:pStyle w:val="SubHeading"/>
      </w:pPr>
      <w:r>
        <w:rPr>
          <w:color w:val="8C1D40"/>
        </w:rPr>
        <w:t>Direction: SHORT | Current: $29.77</w:t>
      </w:r>
    </w:p>
    <w:p>
      <w:pPr>
        <w:pStyle w:val="SubHeading"/>
      </w:pPr>
      <w:r>
        <w:t>Summary</w:t>
      </w:r>
    </w:p>
    <w:p>
      <w:pPr>
        <w:pStyle w:val="ListBullet"/>
      </w:pPr>
      <w:r>
        <w:t>Thesis: Consensus FY2026 revenue of $3.345B requires ~$2.56B in Q2-Q4 combined, implying ~$855M/quarter average — achievable but dependent on Alani Nu sustaining 60%+ pro forma growth AND Celsius brand reaccelerating from 6% YoY; we think consensus is directionally achievable but the gross margin recovery to 'low 50s' is being modeled too aggressively by the street, with Q1 2026's 48.3% GAAP gross margin (vs. management's 'low 50s' non-GAAP framing) creating a ~200-300bps GAAP/non-GAAP gap that consensus EPS models are not fully reconciling — producing an EPS estimate that is ~$0.20-0.30 too high for FY2026.</w:t>
      </w:r>
    </w:p>
    <w:p>
      <w:pPr>
        <w:pStyle w:val="ListBullet"/>
      </w:pPr>
      <w:r>
        <w:t>Next catalyst: Next quarterly earnings report (2026-05-07 (1 days))</w:t>
      </w:r>
    </w:p>
    <w:p>
      <w:pPr>
        <w:pStyle w:val="ListBullet"/>
      </w:pPr>
      <w:r>
        <w:t>Top risk: Gross margin recovers to 'low 50s' in FY2026 as Rockstar integration completes and synergies flow through</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'consumer_staples'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4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$0.43</w:t>
            </w:r>
          </w:p>
        </w:tc>
        <w:tc>
          <w:tcPr>
            <w:tcW w:type="dxa" w:w="1399"/>
            <w:tcBorders>
              <w:top w:val="single" w:sz="4" w:color="BDC3C7"/>
              <w:bottom w:val="single" w:sz="4" w:color="BDC3C7"/>
              <w:left w:val="single" w:sz="4" w:color="BDC3C7"/>
              <w:right w:val="single" w:sz="4" w:color="BDC3C7"/>
            </w:tcBorders>
          </w:tcPr>
          <w:p>
            <w:r>
              <w:t>$0.34 – $0.58</w:t>
            </w:r>
          </w:p>
        </w:tc>
        <w:tc>
          <w:tcPr>
            <w:tcW w:type="dxa" w:w="1399"/>
            <w:tcBorders>
              <w:top w:val="single" w:sz="4" w:color="BDC3C7"/>
              <w:bottom w:val="single" w:sz="4" w:color="BDC3C7"/>
              <w:left w:val="single" w:sz="4" w:color="BDC3C7"/>
              <w:right w:val="single" w:sz="4" w:color="BDC3C7"/>
            </w:tcBorders>
          </w:tcPr>
          <w:p>
            <w:r>
              <w:t>18</w:t>
            </w:r>
          </w:p>
        </w:tc>
        <w:tc>
          <w:tcPr>
            <w:tcW w:type="dxa" w:w="1399"/>
            <w:tcBorders>
              <w:top w:val="single" w:sz="4" w:color="BDC3C7"/>
              <w:bottom w:val="single" w:sz="4" w:color="BDC3C7"/>
              <w:left w:val="single" w:sz="4" w:color="BDC3C7"/>
              <w:right w:val="single" w:sz="4" w:color="BDC3C7"/>
            </w:tcBorders>
          </w:tcPr>
          <w:p>
            <w:r>
              <w:t>-8.0%</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↑2 / ↓14</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$0.44</w:t>
            </w:r>
          </w:p>
        </w:tc>
        <w:tc>
          <w:tcPr>
            <w:tcW w:type="dxa" w:w="1399"/>
            <w:tcBorders>
              <w:top w:val="single" w:sz="4" w:color="BDC3C7"/>
              <w:bottom w:val="single" w:sz="4" w:color="BDC3C7"/>
              <w:left w:val="single" w:sz="4" w:color="BDC3C7"/>
              <w:right w:val="single" w:sz="4" w:color="BDC3C7"/>
            </w:tcBorders>
          </w:tcPr>
          <w:p>
            <w:r>
              <w:t>$0.36 – $0.55</w:t>
            </w:r>
          </w:p>
        </w:tc>
        <w:tc>
          <w:tcPr>
            <w:tcW w:type="dxa" w:w="1399"/>
            <w:tcBorders>
              <w:top w:val="single" w:sz="4" w:color="BDC3C7"/>
              <w:bottom w:val="single" w:sz="4" w:color="BDC3C7"/>
              <w:left w:val="single" w:sz="4" w:color="BDC3C7"/>
              <w:right w:val="single" w:sz="4" w:color="BDC3C7"/>
            </w:tcBorders>
          </w:tcPr>
          <w:p>
            <w:r>
              <w:t>18</w:t>
            </w:r>
          </w:p>
        </w:tc>
        <w:tc>
          <w:tcPr>
            <w:tcW w:type="dxa" w:w="1399"/>
            <w:tcBorders>
              <w:top w:val="single" w:sz="4" w:color="BDC3C7"/>
              <w:bottom w:val="single" w:sz="4" w:color="BDC3C7"/>
              <w:left w:val="single" w:sz="4" w:color="BDC3C7"/>
              <w:right w:val="single" w:sz="4" w:color="BDC3C7"/>
            </w:tcBorders>
          </w:tcPr>
          <w:p>
            <w:r>
              <w:t>+4.0%</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↑1 / ↓16</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$1.63</w:t>
            </w:r>
          </w:p>
        </w:tc>
        <w:tc>
          <w:tcPr>
            <w:tcW w:type="dxa" w:w="1399"/>
            <w:tcBorders>
              <w:top w:val="single" w:sz="4" w:color="BDC3C7"/>
              <w:bottom w:val="single" w:sz="4" w:color="BDC3C7"/>
              <w:left w:val="single" w:sz="4" w:color="BDC3C7"/>
              <w:right w:val="single" w:sz="4" w:color="BDC3C7"/>
            </w:tcBorders>
          </w:tcPr>
          <w:p>
            <w:r>
              <w:t>$1.38 – $1.92</w:t>
            </w:r>
          </w:p>
        </w:tc>
        <w:tc>
          <w:tcPr>
            <w:tcW w:type="dxa" w:w="1399"/>
            <w:tcBorders>
              <w:top w:val="single" w:sz="4" w:color="BDC3C7"/>
              <w:bottom w:val="single" w:sz="4" w:color="BDC3C7"/>
              <w:left w:val="single" w:sz="4" w:color="BDC3C7"/>
              <w:right w:val="single" w:sz="4" w:color="BDC3C7"/>
            </w:tcBorders>
          </w:tcPr>
          <w:p>
            <w:r>
              <w:t>22</w:t>
            </w:r>
          </w:p>
        </w:tc>
        <w:tc>
          <w:tcPr>
            <w:tcW w:type="dxa" w:w="1399"/>
            <w:tcBorders>
              <w:top w:val="single" w:sz="4" w:color="BDC3C7"/>
              <w:bottom w:val="single" w:sz="4" w:color="BDC3C7"/>
              <w:left w:val="single" w:sz="4" w:color="BDC3C7"/>
              <w:right w:val="single" w:sz="4" w:color="BDC3C7"/>
            </w:tcBorders>
          </w:tcPr>
          <w:p>
            <w:r>
              <w:t>+21.7%</w:t>
            </w:r>
          </w:p>
        </w:tc>
        <w:tc>
          <w:tcPr>
            <w:tcW w:type="dxa" w:w="1399"/>
            <w:tcBorders>
              <w:top w:val="single" w:sz="4" w:color="BDC3C7"/>
              <w:bottom w:val="single" w:sz="4" w:color="BDC3C7"/>
              <w:left w:val="single" w:sz="4" w:color="BDC3C7"/>
              <w:right w:val="single" w:sz="4" w:color="BDC3C7"/>
            </w:tcBorders>
          </w:tcPr>
          <w:p>
            <w:r>
              <w:t>≈ +0.002</w:t>
            </w:r>
          </w:p>
        </w:tc>
        <w:tc>
          <w:tcPr>
            <w:tcW w:type="dxa" w:w="1399"/>
            <w:tcBorders>
              <w:top w:val="single" w:sz="4" w:color="BDC3C7"/>
              <w:bottom w:val="single" w:sz="4" w:color="BDC3C7"/>
              <w:left w:val="single" w:sz="4" w:color="BDC3C7"/>
              <w:right w:val="single" w:sz="4" w:color="BDC3C7"/>
            </w:tcBorders>
          </w:tcPr>
          <w:p>
            <w:r>
              <w:t>↑9 / ↓7</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$2.03</w:t>
            </w:r>
          </w:p>
        </w:tc>
        <w:tc>
          <w:tcPr>
            <w:tcW w:type="dxa" w:w="1399"/>
            <w:tcBorders>
              <w:top w:val="single" w:sz="4" w:color="BDC3C7"/>
              <w:bottom w:val="single" w:sz="4" w:color="BDC3C7"/>
              <w:left w:val="single" w:sz="4" w:color="BDC3C7"/>
              <w:right w:val="single" w:sz="4" w:color="BDC3C7"/>
            </w:tcBorders>
          </w:tcPr>
          <w:p>
            <w:r>
              <w:t>$1.73 – $2.42</w:t>
            </w:r>
          </w:p>
        </w:tc>
        <w:tc>
          <w:tcPr>
            <w:tcW w:type="dxa" w:w="1399"/>
            <w:tcBorders>
              <w:top w:val="single" w:sz="4" w:color="BDC3C7"/>
              <w:bottom w:val="single" w:sz="4" w:color="BDC3C7"/>
              <w:left w:val="single" w:sz="4" w:color="BDC3C7"/>
              <w:right w:val="single" w:sz="4" w:color="BDC3C7"/>
            </w:tcBorders>
          </w:tcPr>
          <w:p>
            <w:r>
              <w:t>22</w:t>
            </w:r>
          </w:p>
        </w:tc>
        <w:tc>
          <w:tcPr>
            <w:tcW w:type="dxa" w:w="1399"/>
            <w:tcBorders>
              <w:top w:val="single" w:sz="4" w:color="BDC3C7"/>
              <w:bottom w:val="single" w:sz="4" w:color="BDC3C7"/>
              <w:left w:val="single" w:sz="4" w:color="BDC3C7"/>
              <w:right w:val="single" w:sz="4" w:color="BDC3C7"/>
            </w:tcBorders>
          </w:tcPr>
          <w:p>
            <w:r>
              <w:t>+24.8%</w:t>
            </w:r>
          </w:p>
        </w:tc>
        <w:tc>
          <w:tcPr>
            <w:tcW w:type="dxa" w:w="1399"/>
            <w:tcBorders>
              <w:top w:val="single" w:sz="4" w:color="BDC3C7"/>
              <w:bottom w:val="single" w:sz="4" w:color="BDC3C7"/>
              <w:left w:val="single" w:sz="4" w:color="BDC3C7"/>
              <w:right w:val="single" w:sz="4" w:color="BDC3C7"/>
            </w:tcBorders>
          </w:tcPr>
          <w:p>
            <w:r>
              <w:t>≈ -0.005</w:t>
            </w:r>
          </w:p>
        </w:tc>
        <w:tc>
          <w:tcPr>
            <w:tcW w:type="dxa" w:w="1399"/>
            <w:tcBorders>
              <w:top w:val="single" w:sz="4" w:color="BDC3C7"/>
              <w:bottom w:val="single" w:sz="4" w:color="BDC3C7"/>
              <w:left w:val="single" w:sz="4" w:color="BDC3C7"/>
              <w:right w:val="single" w:sz="4" w:color="BDC3C7"/>
            </w:tcBorders>
          </w:tcPr>
          <w:p>
            <w:r>
              <w:t>↑8 / ↓9</w:t>
            </w:r>
          </w:p>
        </w:tc>
      </w:tr>
    </w:tbl>
    <w:p>
      <w:r>
        <w:t>Revenue consensus: Q $0.89B (+21.0%)  |  Q+1 $0.86B (+19.1%)  |  FY $3.35B (+33.0%)  |  FY+1 $3.67B (+9.9%)</w:t>
      </w:r>
    </w:p>
    <w:p>
      <w:r>
        <w:t>Price targets: Mean $60.57  |  Median $60.00  |  Range $41.00–$85.00  |  Current $29.90 (+102.6% to mean)</w:t>
      </w:r>
    </w:p>
    <w:p>
      <w:r>
        <w:t>Analyst ratings (n=23): Strong Buy 7 · Buy 13 · Hold 3 · Sell 0 · Strong Sell 0  ·  87% bullish</w:t>
      </w:r>
    </w:p>
    <w:p>
      <w:r>
        <w:t>Next earnings: 2026-05-07 (-46d out)  ·  EPS $0.43 ($0.34–$0.58)  ·  Rev $0.89B</w:t>
      </w:r>
    </w:p>
    <w:p>
      <w:pPr>
        <w:pStyle w:val="SectionHeading"/>
      </w:pPr>
      <w:r>
        <w:t>1. Research Synthesis</w:t>
      </w:r>
    </w:p>
    <w:p>
      <w:r>
        <w:t>The first analytical question is whether the street's FY2026 revenue consensus of $3.345B is internally consistent with the Q1 2026 actual print. Q1 2026 revenue came in at $783M. To hit $3.345B for the full year, Q2-Q4 combined must deliver $2.562B, or an average of ~$854M per quarter. The prior-year Q2-Q4 2025 actuals from the historical table are: Q2 2025 $739M, Q3 2025 $725M, Q4 2025 $722M — a combined $2.186B. So the street is modeling Q2-Q4 2026 at roughly $376M above the prior-year Q2-Q4 run-rate, or +17% YoY on those three quarters. That is not obviously wrong given Alani Nu's 85% scanner growth and Rockstar's incremental contribution, but it requires both brands to sustain momentum through the summer selling season. The sequential trajectory discipline is important here: Q1 2026 at $783M vs. Q4 2025 at $722M = +8.5% sequential, which is a healthy sequential acceleration into the seasonally stronger spring period. A same-period prior-year sequential comparison (Q1 2025 vs. Q4 2024) is not available because Q4 2024 does not appear in our 24-quarter historicals table — the table moves directly from Q3 2024 ($266M) to Q1 2025 ($329M) — so no prior-year seasonal benchmark can be computed from available data. The revenue consensus is directionally achievable but back-end loaded.</w:t>
      </w:r>
    </w:p>
    <w:p>
      <w:r>
        <w:t>The second and more important analytical question is the gross margin trajectory. This is where the GAAP/non-GAAP reconciliation discipline is critical. The structured financials show FY2025 GAAP gross margin of 50.4% ($1,267.3M gross profit on $2,515.3M revenue). The quarterly historical table shows the deterioration: Q1 2025 52.3%, Q2 2025 51.5%, Q3 2025 51.3%, Q4 2025 47.4%, Q1 2026 48.3%. Management's 'low 50s' gross margin language (deck p.19) is presented alongside a bar chart showing the 47.4%-48.3% recent actuals — the framing implies normalization toward low 50s, but the chart itself shows the trajectory is still 200-400bps below that target. The Q4 2025 CFO commentary attributed the 47.4% to 'dilution from Rockstar Energy, higher cost of product related to integration costs and tariffs, partially offset by improved outbound freight, lower consolidation billbacks.' The Rockstar integration is guided for completion in 1H 2026 (deck p.13), which should remove integration cost drag in 2H 2026. However, the tariff headwind is structural — PPI running +13.1% YoY (FRED, as of May 2026) is a real input cost pressure that management has not quantified in dollar terms. The Q1 2026 GAAP gross margin of 48.3% is 170-270bps below the 'low 50s' target range. For the street's $1.63 FY2026 EPS to work, we need to back-solve the implied gross margin. At $3.345B revenue and assuming SG&amp;A stays roughly at 31-32% of revenue (consistent with FY2025's 31.8%), operating income would need to be approximately $400-450M to support $1.63 EPS on ~255M diluted shares at a ~15% tax rate. That implies an operating margin of ~12-13%, which requires gross margin of ~43-44% after SG&amp;A — but that math doesn't work because SG&amp;A at 31% of $3.345B is $1.04B, so gross profit needs to be $1.04B + $450M = $1.49B, implying a gross margin of ~44.5%. Wait — let me redo this correctly. $1.63 EPS × 255M shares = $416M net income. At 15% tax rate, pre-tax income = $490M. Net interest expense ~$28M (consistent with FY2025), so operating income = $518M. Operating margin = $518M / $3,345M = 15.5%. Gross profit needed = $518M operating income + SG&amp;A. If SG&amp;A is 30% of revenue = $1,004M, gross profit = $1,522M, gross margin = 45.5%. That seems too low. More likely the street is modeling SG&amp;A leverage — say 28% of revenue = $937M — giving gross profit = $1,455M, gross margin = 43.5%. Something is off. Let me reconsider: the street's $1.63 EPS likely uses adjusted/non-GAAP EPS, not GAAP. The Q1 2026 adjusted diluted EPS was $0.41 vs. GAAP EPS of $0.33 — a $0.08/quarter gap driven by stock-based comp, acquisition costs, and integration charges. Annualizing that gap suggests ~$0.30-0.35 of non-GAAP adjustments for FY2026. So the street's $1.63 consensus is likely non-GAAP, implying GAAP EPS of approximately $1.28-1.33. The FY2025 GAAP EPS was $0.25 on $108M net income — the YoY improvement to $1.28-1.33 GAAP EPS requires net income of ~$325-340M, a 3x increase. That requires significant operating leverage. The key risk: if GAAP gross margin stays at 48-49% rather than recovering to 51-52%, the gross profit shortfall on $3.345B revenue is approximately $67-100M (200-300bps × $3.345B), which flows almost entirely to operating income and net income, reducing GAAP EPS by approximately $0.20-0.30 after tax.</w:t>
      </w:r>
    </w:p>
    <w:p>
      <w:r>
        <w:t>The third analytical question is the Celsius brand trajectory. The conference deck (p.22) contains a four-milestone execution timeline that is entirely absent from the earnings transcript — a material incremental disclosure. The timeline reads: June 2026 = 'Resets complete'; Q3 2026 = 'Progressive improvement'; Q4 2026 = 'Foundation set'; Q1 2027 = 'Core base more productive with Innovation Launches incremental.' This is management explicitly telling investors that the Celsius brand will not show meaningful improvement until Q3 2026 at the earliest, with the real innovation catalyst deferred to Q1 2027. The Celsius brand delivered $348M in Q1 2026 at only 6% YoY growth — a significant deceleration from the 13% scanner growth in Q3 2025. The conference deck also discloses that 'Celsius core 12-oz singles grew +11% in convenience' (p.22), suggesting the core SKU is healthy but the overall brand is being dragged by assortment rationalization. The street's FY2026 revenue consensus implicitly requires the Celsius brand to contribute more than $1.4B for the year (assuming Alani Nu at ~$1.5B and Rockstar at ~$300-400M). At 6% YoY growth on a ~$1.35B FY2025 Celsius base, that's only ~$1.43B — which is actually consistent with the math. The Celsius brand deceleration is not a consensus-breaking risk for revenue, but it does mean the revenue upside story is entirely dependent on Alani Nu and Rockstar.</w:t>
      </w:r>
    </w:p>
    <w:p>
      <w:r>
        <w:t>The Alani Nu distribution data from the conference deck is the most bullish incremental disclosure in the corpus. C-store ACV expanded from 65% to 91% in just four weeks (deck p.23, L4W data as of the conference date), a +26 percentage point gain. This is extraordinary velocity — the Celsius brand took multiple quarters to achieve similar ACV gains when it entered the PepsiCo system. The 85% scanner growth rate for Alani Nu in Q1 2026 (deck p.17) on a $198M US RTD Energy base implies $168M of incremental scanner sales in one quarter. The DSD/direct mix headwind of -$26.5M (deck p.17) is a one-time channel transition artifact — as the DSD mix normalizes, this headwind should reverse. The $50M of annual synergies captured (deck p.23) is ahead of the two-year post-closing timeline originally guided (Q2 2025 call: 'we expect to achieve $50 million of run rate cost synergies over two years post-closing'). The Alani Nu story is genuinely strong and the conference deck data supports the bull case on that brand.</w:t>
      </w:r>
    </w:p>
    <w:p>
      <w:r>
        <w:t>On macro context: the consumer environment is mixed but not alarming for energy drinks. Real disposable personal income is up +5.8% YoY (BEA, April 2026), which is a tailwind for discretionary beverage spending. However, consumer sentiment at 49.8 (University of Michigan, April 2026) is near recessionary lows, and the personal saving rate has collapsed to 2.6% — consumers are spending but drawing down buffers. Energy drinks at $2-4 per can are a relatively affordable indulgence, and the category has historically been resilient in mild downturns. The more relevant macro risk is PPI at +13.1% YoY — this is the input cost pressure that management flagged in Q2 2025 and that drove the Q4 2025 gross margin to 47.4%. Aluminum cans, sweeteners, and freight are all exposed to this inflation. Management has not quantified the tariff impact specifically, which is a credibility concern given the magnitude of the PPI move.</w:t>
      </w:r>
    </w:p>
    <w:p>
      <w:r>
        <w:t>On insider activity: the most important signal in the corpus is the coordinated insider buying in May 2026. CEO John Fieldley purchased $250K of stock at $29.36/share on May 22, 2026; President &amp; COO Eric Hanson purchased $220K at $29.04 on May 21; and Director Hal Kravitz purchased $250K at $29.73 on May 22. All three purchases occurred within days of each other, at prices approximately 50% below the 52-week high, and represent meaningful dollar commitments relative to their compensation. This is a strong signal — management is putting personal capital at risk at current prices. The only insider sale in the 180-day window was Director Russell Joyce selling $150K (13.3% of his stake) in March 2026, which predates the May buying and is less significant. The coordinated CEO/COO/Director buying at ~$29-30 is the clearest positive signal in the recent news section.</w:t>
      </w:r>
    </w:p>
    <w:p>
      <w:pPr>
        <w:pStyle w:val="ListBullet"/>
      </w:pPr>
      <w:r>
        <w:rPr>
          <w:i/>
        </w:rPr>
        <w:t>→ Research: Recent Form 4 filings show mixed insider activity: CFO Jarrod Langhans sold 4,391 shares on April 18, 2026 at $35.25/share (~$155K), while CEO John Fieldly, President Eric Hanson, and director Hal Kravitz executed coordinated open-market purchases in May 2026 (~$716K aggregate). The CFO sale represents a bearish signal amid deceleration narrative, but is offset by substantial executive buying. (sec.gov)</w:t>
      </w:r>
    </w:p>
    <w:p>
      <w:r>
        <w:t>On ownership structure: the cap table is unusual. Carl DeSantis (24.9%) and William Milmoe (18.4%) together control 43.3% of shares outstanding — these are strategic/founding-era holders who have filed passive 13G disclosures. Chau Hoi Shuen Solina Holly (9.9%) and Li Ka Shing (9.0%) represent another ~19% of strategic Asian capital. Together, these four holders control approximately 62% of shares outstanding, leaving a true float of roughly 38%. With short interest at 13% of float, the effective tradeable float is even thinner. This concentration means: (1) the stock is highly susceptible to sentiment-driven moves in either direction; (2) any institutional re-rating (positive or negative) will have outsized price impact; (3) the strategic holders have shown no disposition to sell, which limits downside from forced selling but also limits upside from M&amp;A premium scenarios. The ownership structure is not a thesis driver but it explains the stock's volatility pattern that retail investors on StockTwits are frustrated by.</w:t>
      </w:r>
    </w:p>
    <w:p>
      <w:r>
        <w:t>The synthesis: the revenue consensus of $3.345B for FY2026 is achievable but requires Alani Nu to sustain 50%+ pro forma growth and Celsius to hold at 6-8% YoY — both plausible given the distribution data. The EPS consensus of $1.63 (non-GAAP) is more vulnerable because it implicitly requires GAAP gross margin recovery to 51-52% that the current trajectory (48.3% in Q1 2026) does not support. The Rockstar integration completion in 1H 2026 removes one headwind, but tariff/input cost pressure (PPI +13.1% YoY) is structural and unquantified. The conference deck's Celsius brand execution timeline — explicitly deferring 'progressive improvement' to Q3 and innovation to Q1 2027 — is a material disclosure that the street has not fully incorporated into near-term estimates. The coordinated insider buying at $29-30 is a strong positive signal that management views the current price as materially undervalued. The net read: revenue is achievable, but GAAP EPS is likely $0.20-0.30 below the non-GAAP consensus of $1.63, and the street's non-GAAP EPS estimate may be achievable but requires gross margin recovery that is not yet visible in the GAAP data.</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$0.43</w:t>
            </w:r>
          </w:p>
        </w:tc>
        <w:tc>
          <w:tcPr>
            <w:tcW w:type="dxa" w:w="3264"/>
            <w:tcBorders>
              <w:top w:val="single" w:sz="4" w:color="BDC3C7"/>
              <w:bottom w:val="single" w:sz="4" w:color="BDC3C7"/>
              <w:left w:val="single" w:sz="4" w:color="BDC3C7"/>
              <w:right w:val="single" w:sz="4" w:color="BDC3C7"/>
            </w:tcBorders>
          </w:tcPr>
          <w:p>
            <w:r>
              <w:t>$895M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$0.44</w:t>
            </w:r>
          </w:p>
        </w:tc>
        <w:tc>
          <w:tcPr>
            <w:tcW w:type="dxa" w:w="3264"/>
            <w:tcBorders>
              <w:top w:val="single" w:sz="4" w:color="BDC3C7"/>
              <w:bottom w:val="single" w:sz="4" w:color="BDC3C7"/>
              <w:left w:val="single" w:sz="4" w:color="BDC3C7"/>
              <w:right w:val="single" w:sz="4" w:color="BDC3C7"/>
            </w:tcBorders>
          </w:tcPr>
          <w:p>
            <w:r>
              <w:t>$864M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$1.63</w:t>
            </w:r>
          </w:p>
        </w:tc>
        <w:tc>
          <w:tcPr>
            <w:tcW w:type="dxa" w:w="3264"/>
            <w:tcBorders>
              <w:top w:val="single" w:sz="4" w:color="BDC3C7"/>
              <w:bottom w:val="single" w:sz="4" w:color="BDC3C7"/>
              <w:left w:val="single" w:sz="4" w:color="BDC3C7"/>
              <w:right w:val="single" w:sz="4" w:color="BDC3C7"/>
            </w:tcBorders>
          </w:tcPr>
          <w:p>
            <w:r>
              <w:t>$3,345M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$2.03</w:t>
            </w:r>
          </w:p>
        </w:tc>
        <w:tc>
          <w:tcPr>
            <w:tcW w:type="dxa" w:w="3264"/>
            <w:tcBorders>
              <w:top w:val="single" w:sz="4" w:color="BDC3C7"/>
              <w:bottom w:val="single" w:sz="4" w:color="BDC3C7"/>
              <w:left w:val="single" w:sz="4" w:color="BDC3C7"/>
              <w:right w:val="single" w:sz="4" w:color="BDC3C7"/>
            </w:tcBorders>
          </w:tcPr>
          <w:p>
            <w:r>
              <w:t>$3,675M</w:t>
            </w:r>
          </w:p>
        </w:tc>
      </w:tr>
    </w:tbl>
    <w:p>
      <w:pPr>
        <w:pStyle w:val="SubHeading"/>
      </w:pPr>
      <w:r>
        <w:t>Management guidance:</w:t>
      </w:r>
    </w:p>
    <w:p>
      <w:pPr>
        <w:pStyle w:val="ListBullet"/>
      </w:pPr>
      <w:r>
        <w:t>Acquisition Synergies Run Rate Cost Synergies Alani Nu (cumulative through Q1 2026): ~$50M  — Deck p.13</w:t>
      </w:r>
    </w:p>
    <w:p>
      <w:pPr>
        <w:pStyle w:val="ListBullet"/>
      </w:pPr>
      <w:r>
        <w:t>Rockstar Energy Integration Completion Timing (1H 2026): completion in 1H 2026  — Deck p.13</w:t>
      </w:r>
    </w:p>
    <w:p>
      <w:pPr>
        <w:pStyle w:val="ListBullet"/>
      </w:pPr>
      <w:r>
        <w:t>Retail Shelf Space Gain Celsius Brand (FY2026 reset cycle): approximately +17%  — Deck p.13</w:t>
      </w:r>
    </w:p>
    <w:p>
      <w:pPr>
        <w:pStyle w:val="ListBullet"/>
      </w:pPr>
      <w:r>
        <w:t>Retail Shelf Space Gain Alani Nu Brand (FY2026 reset cycle): +100%  — Deck p.13</w:t>
      </w:r>
    </w:p>
    <w:p>
      <w:pPr>
        <w:pStyle w:val="ListBullet"/>
      </w:pPr>
      <w:r>
        <w:t>Retail Shelf Space Rockstar Brand (FY2026 reset cycle): net space maintained  — Deck p.13</w:t>
      </w:r>
    </w:p>
    <w:p>
      <w:pPr>
        <w:pStyle w:val="ListBullet"/>
      </w:pPr>
      <w:r>
        <w:t>Gross Margin (FY2026 (normalized)): low 50s (gross margin percentages in the low 50s)  — Deck p.19</w:t>
      </w:r>
    </w:p>
    <w:p>
      <w:pPr>
        <w:pStyle w:val="ListBullet"/>
      </w:pPr>
      <w:r>
        <w:t>Adj. EBITDA (Q1 2026 (reported)): 25.0%  — Deck p.20</w:t>
      </w:r>
    </w:p>
    <w:p>
      <w:pPr>
        <w:pStyle w:val="ListBullet"/>
      </w:pPr>
      <w:r>
        <w:t>Revenue (Q1 2026 (reported)): $368.1M  — Deck p.17</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$1.63</w:t>
            </w:r>
          </w:p>
        </w:tc>
        <w:tc>
          <w:tcPr>
            <w:tcW w:type="dxa" w:w="1632"/>
            <w:tcBorders>
              <w:top w:val="single" w:sz="4" w:color="BDC3C7"/>
              <w:bottom w:val="single" w:sz="4" w:color="BDC3C7"/>
              <w:left w:val="single" w:sz="4" w:color="BDC3C7"/>
              <w:right w:val="single" w:sz="4" w:color="BDC3C7"/>
            </w:tcBorders>
          </w:tcPr>
          <w:p>
            <w:r>
              <w:t>$1.35</w:t>
            </w:r>
          </w:p>
        </w:tc>
        <w:tc>
          <w:tcPr>
            <w:tcW w:type="dxa" w:w="1632"/>
            <w:tcBorders>
              <w:top w:val="single" w:sz="4" w:color="BDC3C7"/>
              <w:bottom w:val="single" w:sz="4" w:color="BDC3C7"/>
              <w:left w:val="single" w:sz="4" w:color="BDC3C7"/>
              <w:right w:val="single" w:sz="4" w:color="BDC3C7"/>
            </w:tcBorders>
          </w:tcPr>
          <w:p>
            <w:r>
              <w:t>-0.28</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$3.3B</w:t>
            </w:r>
          </w:p>
        </w:tc>
        <w:tc>
          <w:tcPr>
            <w:tcW w:type="dxa" w:w="1632"/>
            <w:tcBorders>
              <w:top w:val="single" w:sz="4" w:color="BDC3C7"/>
              <w:bottom w:val="single" w:sz="4" w:color="BDC3C7"/>
              <w:left w:val="single" w:sz="4" w:color="BDC3C7"/>
              <w:right w:val="single" w:sz="4" w:color="BDC3C7"/>
            </w:tcBorders>
          </w:tcPr>
          <w:p>
            <w:r>
              <w:t>$3.2B</w:t>
            </w:r>
          </w:p>
        </w:tc>
        <w:tc>
          <w:tcPr>
            <w:tcW w:type="dxa" w:w="1632"/>
            <w:tcBorders>
              <w:top w:val="single" w:sz="4" w:color="BDC3C7"/>
              <w:bottom w:val="single" w:sz="4" w:color="BDC3C7"/>
              <w:left w:val="single" w:sz="4" w:color="BDC3C7"/>
              <w:right w:val="single" w:sz="4" w:color="BDC3C7"/>
            </w:tcBorders>
          </w:tcPr>
          <w:p>
            <w:r>
              <w:t>-0.12</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consensus_fy_eps</w:t>
      </w:r>
    </w:p>
    <w:p>
      <w:r>
        <w:t>The street's $1.63 non-GAAP EPS consensus implicitly requires GAAP gross margin recovery to ~51-52% for FY2026, but Q1 2026 GAAP gross margin printed at 48.3% — 200-300bps below the 'low 50s' target — and the Rockstar integration cost drag plus PPI +13.1% YoY input cost pressure make a full-year GAAP gross margin above 50% mechanically difficult; a 200bps GAAP gross margin shortfall on $3.345B revenue = ~$67M less gross profit, reducing GAAP net income by ~$57M after tax, or ~$0.22/share.</w:t>
      </w:r>
    </w:p>
    <w:p>
      <w:r>
        <w:t>Street anchor: $1.63 (yfinance consensus (FY2026, 22 analysts)) → Our view: $1.35</w:t>
      </w:r>
    </w:p>
    <w:p>
      <w:pPr>
        <w:pStyle w:val="PullQuote"/>
      </w:pPr>
      <w:r>
        <w:t>“52.3%   51.5%   51.3%   47.4%   48.3% [quarterly gross profit margin Q1 2025 through Q1 2026]”  (deck)</w:t>
      </w:r>
    </w:p>
    <w:p>
      <w:pPr>
        <w:pStyle w:val="PullQuote"/>
      </w:pPr>
      <w:r>
        <w:t>“gross margin percentages in the low 50s”  (press_release)</w:t>
      </w:r>
    </w:p>
    <w:p>
      <w:pPr>
        <w:pStyle w:val="PullQuote"/>
      </w:pPr>
      <w:r>
        <w:t>“Gross profit margin was 47.4% compared to 50.2% in the prior year period, reflecting dilution from Rockstar Energy, higher cost of product related to integration costs and tariffs”  (transcript)</w:t>
      </w:r>
    </w:p>
    <w:p>
      <w:r>
        <w:t>Why not consensus: Sell-side analysts typically model non-GAAP EPS and anchor to management's 'low 50s' gross margin language without reconciling it against the GAAP quarterly trajectory showing 48.3% in Q1 2026; the GAAP/non-GAAP gap (~$0.08/quarter based on Q1 2026 actuals) is often treated as a stable adjustment rather than a variable that grows with integration costs and tariff exposure.</w:t>
      </w:r>
    </w:p>
    <w:p>
      <w:pPr>
        <w:pStyle w:val="KillCriteria"/>
      </w:pPr>
      <w:r>
        <w:t>Falsifier: If Q2 2026 GAAP gross margin prints at or above 50.5% and management provides explicit quantification of tariff impact showing it is contained below $30M annually, the gross margin recovery thesis is confirmed and our below-consensus EPS view is wrong.</w:t>
      </w:r>
    </w:p>
    <w:p>
      <w:pPr>
        <w:pStyle w:val="ListBullet2"/>
      </w:pPr>
      <w:r>
        <w:rPr>
          <w:i/>
        </w:rPr>
        <w:t>→ Research confirms: FY2025 GAAP EPS of $0.25 and net income of $108M confirmed by SEC filings. Street consensus nature (GAAP vs non-GAAP) not directly addressed in search results, but CELH's Q1 2026 reported GAAP EPS of $0.33 vs adjusted EPS of $0.42 demonstrates material gap consistent with brief's thesis. (sec.gov)</w:t>
      </w:r>
    </w:p>
    <w:p>
      <w:pPr>
        <w:pStyle w:val="SubHeading"/>
      </w:pPr>
      <w:r>
        <w:t>Claim 2 — consensus_fy_revenue</w:t>
      </w:r>
    </w:p>
    <w:p>
      <w:r>
        <w:t>The street's $3.345B FY2026 consensus requires Q2-Q4 2026 to average ~$854M/quarter — achievable only if Alani Nu sustains 50%+ pro forma growth AND the Celsius brand reaccelerates from 6% YoY; the conference deck's explicit Celsius execution timeline deferring improvement to Q3-Q4 and the macro headwind of consumer sentiment at 49.8 (near recessionary lows) and PPI +13.1% YoY suggest the back-half ramp is more modest, with FY2026 revenue more likely in the $3.1-3.2B range.</w:t>
      </w:r>
    </w:p>
    <w:p>
      <w:r>
        <w:t>Street anchor: $3.3B (yfinance consensus (FY2026, 22 analysts)) → Our view: $3.2B</w:t>
      </w:r>
    </w:p>
    <w:p>
      <w:pPr>
        <w:pStyle w:val="PullQuote"/>
      </w:pPr>
      <w:r>
        <w:t>“Consumer sentiment (U. of Michigan): 49.8 (as of 2026-04-01), ↓ -4.6% YoY”  (macro)</w:t>
      </w:r>
    </w:p>
    <w:p>
      <w:pPr>
        <w:pStyle w:val="PullQuote"/>
      </w:pPr>
      <w:r>
        <w:t>“Q3 – Progressive improvement | Q4 – Foundation set [Celsius brand execution timeline]”  (deck)</w:t>
      </w:r>
    </w:p>
    <w:p>
      <w:pPr>
        <w:pStyle w:val="PullQuote"/>
      </w:pPr>
      <w:r>
        <w:t>“EPS revisions: ↑2 / ↓14 over 30 days [current quarter]; ↑1 / ↓16 over 30 days [next quarter]”  (peer)</w:t>
      </w:r>
    </w:p>
    <w:p>
      <w:r>
        <w:t>Why not consensus: The 14:2 and 16:1 downward EPS revision ratios for the current and next quarters suggest the street is already beginning to fade the consensus, but the full-year revenue consensus has not yet been revised down commensurately — analysts tend to revise quarterly EPS before revising full-year revenue, creating a temporary disconnect where the FY revenue consensus lags the implied quarterly run-rate. The Celsius brand timeline disclosure on the conference deck (not the earnings call) is the specific data point that anchors the back-half revenue moderation.</w:t>
      </w:r>
    </w:p>
    <w:p>
      <w:pPr>
        <w:pStyle w:val="KillCriteria"/>
      </w:pPr>
      <w:r>
        <w:t>Falsifier: If Q2 2026 revenue prints above $900M (implying Alani Nu is accelerating faster than the DSD transition math suggests) or if management provides an explicit FY2026 revenue guide above $3.3B on the Q2 call, the below-consensus revenue view is wrong.</w:t>
      </w:r>
    </w:p>
    <w:p>
      <w:r>
        <w:t>Management tone shift in Q2 2025→Q3 2025: Alani New integration progress: new_caveat — CEO shifted from unqualified integration enthusiasm to acknowledging a phased, timing-constrained ro</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FY2026 Revenue Growth</w:t>
            </w:r>
          </w:p>
        </w:tc>
        <w:tc>
          <w:tcPr>
            <w:tcW w:type="dxa" w:w="2448"/>
            <w:tcBorders>
              <w:top w:val="single" w:sz="4" w:color="BDC3C7"/>
              <w:bottom w:val="single" w:sz="4" w:color="BDC3C7"/>
              <w:left w:val="single" w:sz="4" w:color="BDC3C7"/>
              <w:right w:val="single" w:sz="4" w:color="BDC3C7"/>
            </w:tcBorders>
          </w:tcPr>
          <w:p>
            <w:r>
              <w:rPr>
                <w:b/>
              </w:rPr>
              <w:t>+434.20%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Celsius brand YoY growth</w:t>
            </w:r>
          </w:p>
        </w:tc>
        <w:tc>
          <w:tcPr>
            <w:tcW w:type="dxa" w:w="2448"/>
            <w:tcBorders>
              <w:top w:val="single" w:sz="4" w:color="BDC3C7"/>
              <w:bottom w:val="single" w:sz="4" w:color="BDC3C7"/>
              <w:left w:val="single" w:sz="4" w:color="BDC3C7"/>
              <w:right w:val="single" w:sz="4" w:color="BDC3C7"/>
            </w:tcBorders>
          </w:tcPr>
          <w:p>
            <w:r>
              <w:t>+4.20%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The Celsius brand delivered $348M in Q1 2026 at 6% YoY growth (Q1 2026 earnings call, CFO). The conference deck (p.22) explicitly stages the brand's recovery: resets complete June 2026, progressive improvement Q3, founda</w:t>
            </w:r>
          </w:p>
        </w:tc>
      </w:tr>
      <w:tr>
        <w:tc>
          <w:tcPr>
            <w:tcW w:type="dxa" w:w="2448"/>
            <w:tcBorders>
              <w:top w:val="single" w:sz="4" w:color="BDC3C7"/>
              <w:bottom w:val="single" w:sz="4" w:color="BDC3C7"/>
              <w:left w:val="single" w:sz="4" w:color="BDC3C7"/>
              <w:right w:val="single" w:sz="4" w:color="BDC3C7"/>
            </w:tcBorders>
          </w:tcPr>
          <w:p>
            <w:r>
              <w:t xml:space="preserve">    Alani Nu pro forma YoY growth</w:t>
            </w:r>
          </w:p>
        </w:tc>
        <w:tc>
          <w:tcPr>
            <w:tcW w:type="dxa" w:w="2448"/>
            <w:tcBorders>
              <w:top w:val="single" w:sz="4" w:color="BDC3C7"/>
              <w:bottom w:val="single" w:sz="4" w:color="BDC3C7"/>
              <w:left w:val="single" w:sz="4" w:color="BDC3C7"/>
              <w:right w:val="single" w:sz="4" w:color="BDC3C7"/>
            </w:tcBorders>
          </w:tcPr>
          <w:p>
            <w:r>
              <w:t>+40.00%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Alani Nu delivered $368M in Q1 2026 at ~60% pro forma YoY growth (conference deck p.23). The C-store ACV expanded from 65% to 91% in just four weeks (deck p.23, L4W data), a +26pp gain that signals rapid distribution-dri</w:t>
            </w:r>
          </w:p>
        </w:tc>
      </w:tr>
      <w:tr>
        <w:tc>
          <w:tcPr>
            <w:tcW w:type="dxa" w:w="2448"/>
            <w:tcBorders>
              <w:top w:val="single" w:sz="4" w:color="BDC3C7"/>
              <w:bottom w:val="single" w:sz="4" w:color="BDC3C7"/>
              <w:left w:val="single" w:sz="4" w:color="BDC3C7"/>
              <w:right w:val="single" w:sz="4" w:color="BDC3C7"/>
            </w:tcBorders>
          </w:tcPr>
          <w:p>
            <w:r>
              <w:t xml:space="preserve">    Rockstar incremental contribution</w:t>
            </w:r>
          </w:p>
        </w:tc>
        <w:tc>
          <w:tcPr>
            <w:tcW w:type="dxa" w:w="2448"/>
            <w:tcBorders>
              <w:top w:val="single" w:sz="4" w:color="BDC3C7"/>
              <w:bottom w:val="single" w:sz="4" w:color="BDC3C7"/>
              <w:left w:val="single" w:sz="4" w:color="BDC3C7"/>
              <w:right w:val="single" w:sz="4" w:color="BDC3C7"/>
            </w:tcBorders>
          </w:tcPr>
          <w:p>
            <w:r>
              <w:t>+350.00%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Rockstar was acquired at end of August 2025 and contributed to Q3-Q4 2025 revenue. The Q4 2025 CFO noted gross margin dilution from Rockstar, but no standalone Rockstar revenue figure has been disclosed. The conference d</w:t>
            </w:r>
          </w:p>
        </w:tc>
      </w:tr>
      <w:tr>
        <w:tc>
          <w:tcPr>
            <w:tcW w:type="dxa" w:w="2448"/>
            <w:tcBorders>
              <w:top w:val="single" w:sz="4" w:color="BDC3C7"/>
              <w:bottom w:val="single" w:sz="4" w:color="BDC3C7"/>
              <w:left w:val="single" w:sz="4" w:color="BDC3C7"/>
              <w:right w:val="single" w:sz="4" w:color="BDC3C7"/>
            </w:tcBorders>
          </w:tcPr>
          <w:p>
            <w:r>
              <w:t xml:space="preserve">    International revenue growth</w:t>
            </w:r>
          </w:p>
        </w:tc>
        <w:tc>
          <w:tcPr>
            <w:tcW w:type="dxa" w:w="2448"/>
            <w:tcBorders>
              <w:top w:val="single" w:sz="4" w:color="BDC3C7"/>
              <w:bottom w:val="single" w:sz="4" w:color="BDC3C7"/>
              <w:left w:val="single" w:sz="4" w:color="BDC3C7"/>
              <w:right w:val="single" w:sz="4" w:color="BDC3C7"/>
            </w:tcBorders>
          </w:tcPr>
          <w:p>
            <w:r>
              <w:t>+40.00%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International revenue was $35.3M in Q1 2026, up 55% YoY (deck p.14). The Spain launch via Suntory was completed in Q1 2026 (Q1 2026 earnings call, CEO: 'expanded our international footprint with the launch in Spain throu</w:t>
            </w:r>
          </w:p>
        </w:tc>
      </w:tr>
    </w:tbl>
    <w:p>
      <w:pPr>
        <w:pStyle w:val="SubHeading"/>
      </w:pPr>
      <w:r>
        <w:t>Bear revisions:</w:t>
      </w:r>
    </w:p>
    <w:p>
      <w:pPr>
        <w:pStyle w:val="ListBullet"/>
      </w:pPr>
      <w:r>
        <w:t>FY2026 Revenue Growth.Alani Nu pro forma YoY growth: 55.0 → 40.0 — If the DSD/direct mix headwind persists at -$26.5M/quarter (rather than normalizing) and the C-store ACV gains slow as the brand approaches saturation at 91%, Alani Nu's reported revenue growth could decelerate to 40% pro forma YoY — implying ~$860M for FY2026 rather than ~$953M, a $93M revenue shortfall that flows directly to operating income.</w:t>
      </w:r>
    </w:p>
    <w:p>
      <w:pPr>
        <w:pStyle w:val="ListBullet"/>
      </w:pPr>
      <w:r>
        <w:t>FY2026 Revenue Growth.Celsius brand YoY growth: 7.0 → 4.0 — If consumer sentiment deterioration (49.8 University of Michigan, near recessionary lows) pressures premium energy drink velocity and the reset cycle takes longer than the June 2026 completion target, Celsius brand growth could remain at 4-5% YoY through FY2026 — implying ~$1.40B rather than $1.44B, a modest but directionally negative signal for the bull case.</w:t>
      </w:r>
    </w:p>
    <w:p>
      <w:pPr>
        <w:pStyle w:val="SubHeading"/>
      </w:pPr>
      <w:r>
        <w:t>Comp decomposition check:</w:t>
      </w:r>
    </w:p>
    <w:p>
      <w:pPr>
        <w:pStyle w:val="ListBullet"/>
      </w:pPr>
      <w:r>
        <w:t>Schema mismatch: peer comps fit 'consumer_staples' but the brief picked 'general'. The mechanical model will use generic defaults; final EPS may be unreliable.</w:t>
      </w:r>
    </w:p>
    <w:p>
      <w:pPr>
        <w:pStyle w:val="ListBullet"/>
      </w:pPr>
      <w:r>
        <w:t>Thin brief drivers (1 drivers / 4 components) on schema 'general'. The mechanical model and edge variant back-solve may be unreliable.</w:t>
      </w:r>
    </w:p>
    <w:p>
      <w:pPr>
        <w:pStyle w:val="ListBullet"/>
      </w:pPr>
      <w:r>
        <w:rPr>
          <w:i/>
        </w:rPr>
        <w:t>→ Research [UPDATES]: SEC filing confirms Alani Nu ACV expansion but with different timing and final number: ACV rose from 87% to 94.2% (7.2pp gain) from Q4 2025 start through Feb 1, 2026, not 65% to 91% (+26pp) in four weeks as claimed. (sec.gov)</w:t>
      </w:r>
    </w:p>
    <w:p>
      <w:pPr>
        <w:pStyle w:val="ListBullet"/>
      </w:pPr>
      <w:r>
        <w:rPr>
          <w:i/>
        </w:rPr>
        <w:t>→ Research: SEC filings confirm Rockstar Energy contributed $55.6M in FY2025 (partial-year post-Aug 28 acquisition) and $66.6M in Q1 2026. The brief's $300-400M incremental estimate lacks sourced baseline; actual FY2025 contribution was 4-month partial revenue, not annualized. (sec.gov)</w:t>
      </w:r>
    </w:p>
    <w:p>
      <w:pPr>
        <w:pStyle w:val="SectionHeading"/>
      </w:pPr>
      <w:r>
        <w:t>3. Consensus Gap &amp; Valuation</w:t>
      </w:r>
    </w:p>
    <w:p>
      <w:r>
        <w:t>Our EPS: $1.35  =  baseline $1.63  +  Σ claim impacts $-0.28 (17.2% below consensus $1.63)</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$1.63</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$1.63 → $1.35 (Δ -28.0%)</w:t>
            </w:r>
          </w:p>
        </w:tc>
        <w:tc>
          <w:tcPr>
            <w:tcW w:type="dxa" w:w="2448"/>
            <w:tcBorders>
              <w:top w:val="single" w:sz="4" w:color="BDC3C7"/>
              <w:bottom w:val="single" w:sz="4" w:color="BDC3C7"/>
              <w:left w:val="single" w:sz="4" w:color="BDC3C7"/>
              <w:right w:val="single" w:sz="4" w:color="BDC3C7"/>
            </w:tcBorders>
          </w:tcPr>
          <w:p>
            <w:r>
              <w:t>Direct EPS delta: $-0.28/share</w:t>
            </w:r>
          </w:p>
        </w:tc>
        <w:tc>
          <w:tcPr>
            <w:tcW w:type="dxa" w:w="2448"/>
            <w:tcBorders>
              <w:top w:val="single" w:sz="4" w:color="BDC3C7"/>
              <w:bottom w:val="single" w:sz="4" w:color="BDC3C7"/>
              <w:left w:val="single" w:sz="4" w:color="BDC3C7"/>
              <w:right w:val="single" w:sz="4" w:color="BDC3C7"/>
            </w:tcBorders>
          </w:tcPr>
          <w:p>
            <w:r>
              <w:t>-0.28</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$3.3B → $3.2B (Δ $-145M)</w:t>
            </w:r>
          </w:p>
        </w:tc>
        <w:tc>
          <w:tcPr>
            <w:tcW w:type="dxa" w:w="2448"/>
            <w:tcBorders>
              <w:top w:val="single" w:sz="4" w:color="BDC3C7"/>
              <w:bottom w:val="single" w:sz="4" w:color="BDC3C7"/>
              <w:left w:val="single" w:sz="4" w:color="BDC3C7"/>
              <w:right w:val="single" w:sz="4" w:color="BDC3C7"/>
            </w:tcBorders>
          </w:tcPr>
          <w:p>
            <w:r>
              <w:t xml:space="preserve">(supporting view, not summed: same disagreement as 'consensus_fy_eps' through different metric lens) Revenue Δ $-145M × </w:t>
            </w:r>
          </w:p>
        </w:tc>
        <w:tc>
          <w:tcPr>
            <w:tcW w:type="dxa" w:w="2448"/>
            <w:tcBorders>
              <w:top w:val="single" w:sz="4" w:color="BDC3C7"/>
              <w:bottom w:val="single" w:sz="4" w:color="BDC3C7"/>
              <w:left w:val="single" w:sz="4" w:color="BDC3C7"/>
              <w:right w:val="single" w:sz="4" w:color="BDC3C7"/>
            </w:tcBorders>
          </w:tcPr>
          <w:p>
            <w:r>
              <w:t>+0.00</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-0.28</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$1.35</w:t>
            </w:r>
          </w:p>
        </w:tc>
      </w:tr>
    </w:tbl>
    <w:p>
      <w:pPr>
        <w:pStyle w:val="PullQuote"/>
      </w:pPr>
      <w:r>
        <w:t xml:space="preserve">  ⚠ Mechanically-overlapping claim deduplicated: 'consensus_fy_revenue' overlaps with selected 'consensus_fy_eps'; only the more comprehensive claim is summed into our_eps.</w:t>
      </w:r>
    </w:p>
    <w:p>
      <w:r>
        <w:t>Our estimate is $0.28 (17.2%) below consensus $1.63. No single driver within plausible bounds can close the gap to consensus when other drivers are held at our values; the EPS variant is diffuse (top magnitude: FY2026 Revenue Growth.Celsius brand YoY growth). Variant appears NOT fully priced in based on available market data. Next catalyst: Next quarterly earnings report (2026-05-07 (1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FY2026 Revenue Growth.Celsius brand YoY growth</w:t>
            </w:r>
          </w:p>
        </w:tc>
        <w:tc>
          <w:tcPr>
            <w:tcW w:type="dxa" w:w="1958"/>
            <w:tcBorders>
              <w:top w:val="single" w:sz="4" w:color="BDC3C7"/>
              <w:bottom w:val="single" w:sz="4" w:color="BDC3C7"/>
              <w:left w:val="single" w:sz="4" w:color="BDC3C7"/>
              <w:right w:val="single" w:sz="4" w:color="BDC3C7"/>
            </w:tcBorders>
          </w:tcPr>
          <w:p>
            <w:r>
              <w:t>+4.20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FY2026 Revenue Growth.Alani Nu pro forma YoY growth</w:t>
            </w:r>
          </w:p>
        </w:tc>
        <w:tc>
          <w:tcPr>
            <w:tcW w:type="dxa" w:w="1958"/>
            <w:tcBorders>
              <w:top w:val="single" w:sz="4" w:color="BDC3C7"/>
              <w:bottom w:val="single" w:sz="4" w:color="BDC3C7"/>
              <w:left w:val="single" w:sz="4" w:color="BDC3C7"/>
              <w:right w:val="single" w:sz="4" w:color="BDC3C7"/>
            </w:tcBorders>
          </w:tcPr>
          <w:p>
            <w:r>
              <w:t>+40.00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FY2026 Revenue Growth.Rockstar incremental contribution</w:t>
            </w:r>
          </w:p>
        </w:tc>
        <w:tc>
          <w:tcPr>
            <w:tcW w:type="dxa" w:w="1958"/>
            <w:tcBorders>
              <w:top w:val="single" w:sz="4" w:color="BDC3C7"/>
              <w:bottom w:val="single" w:sz="4" w:color="BDC3C7"/>
              <w:left w:val="single" w:sz="4" w:color="BDC3C7"/>
              <w:right w:val="single" w:sz="4" w:color="BDC3C7"/>
            </w:tcBorders>
          </w:tcPr>
          <w:p>
            <w:r>
              <w:t>+350.00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0.35</w:t>
            </w:r>
          </w:p>
        </w:tc>
      </w:tr>
      <w:tr>
        <w:tc>
          <w:tcPr>
            <w:tcW w:type="dxa" w:w="1958"/>
            <w:tcBorders>
              <w:top w:val="single" w:sz="4" w:color="BDC3C7"/>
              <w:bottom w:val="single" w:sz="4" w:color="BDC3C7"/>
              <w:left w:val="single" w:sz="4" w:color="BDC3C7"/>
              <w:right w:val="single" w:sz="4" w:color="BDC3C7"/>
            </w:tcBorders>
          </w:tcPr>
          <w:p>
            <w:r>
              <w:t>FY2026 Revenue Growth.International revenue growth</w:t>
            </w:r>
          </w:p>
        </w:tc>
        <w:tc>
          <w:tcPr>
            <w:tcW w:type="dxa" w:w="1958"/>
            <w:tcBorders>
              <w:top w:val="single" w:sz="4" w:color="BDC3C7"/>
              <w:bottom w:val="single" w:sz="4" w:color="BDC3C7"/>
              <w:left w:val="single" w:sz="4" w:color="BDC3C7"/>
              <w:right w:val="single" w:sz="4" w:color="BDC3C7"/>
            </w:tcBorders>
          </w:tcPr>
          <w:p>
            <w:r>
              <w:t>+40.00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(-17.2%) exceeds implied move (3.3%). Short interest 12.6% neutral</w:t>
      </w:r>
    </w:p>
    <w:p>
      <w:r>
        <w:t>Edge verdict: ACTIONABLE_EDGE (score 0.400).</w:t>
      </w:r>
    </w:p>
    <w:p>
      <w:pPr>
        <w:pStyle w:val="SectionHeading"/>
      </w:pPr>
      <w:r>
        <w:t>4. Catalysts</w:t>
      </w:r>
    </w:p>
    <w:p>
      <w:pPr>
        <w:pStyle w:val="ListBullet"/>
      </w:pPr>
      <w:r>
        <w:t>Next quarterly earnings report (2026-05-07 (1 days)) — resolves revenue + margins + guidance; confirms or challenges</w:t>
      </w:r>
    </w:p>
    <w:p>
      <w:pPr>
        <w:pStyle w:val="ListBullet"/>
      </w:pPr>
      <w:r>
        <w:t>Resolution: Gross margin recovers to 'low 50s' in FY2026 as Rockstar integration completes a (Multi-year thesis -- patience required) — resolves Gross Margin; confirms or challenges</w:t>
      </w:r>
    </w:p>
    <w:p>
      <w:pPr>
        <w:pStyle w:val="ListBullet"/>
      </w:pPr>
      <w:r>
        <w:t>Resolution: Alani Nu sustains 60%+ pro forma growth through FY2026 as C-store ACV expands fr (Multi-year thesis -- patience required) — resolves FY2026 Revenue Growth; confirms or challenges</w:t>
      </w:r>
    </w:p>
    <w:p>
      <w:pPr>
        <w:pStyle w:val="ListBullet"/>
      </w:pPr>
      <w:r>
        <w:t>Resolution: The Celsius brand reaccelerates from 6% YoY in Q1 2026 as retail resets complete (Multi-year thesis -- patience required) — resolves FY2026 Revenue Growth; confirms or challenges</w:t>
      </w:r>
    </w:p>
    <w:p>
      <w:pPr>
        <w:pStyle w:val="ListBullet"/>
      </w:pPr>
      <w:r>
        <w:t>Rockstar brand standalone revenue and gross margin disclosure — without this, we cannot verify wheth (Unknown timing) — resolves multiple; resolves uncertainty</w:t>
      </w:r>
    </w:p>
    <w:p>
      <w:pPr>
        <w:pStyle w:val="ListBullet"/>
      </w:pPr>
      <w:r>
        <w:t>Quantified tariff impact in dollar terms — management has cited tariffs as a gross margin headwind a (Unknown timing) — resolves multiple; resolves uncertainty</w:t>
      </w:r>
    </w:p>
    <w:p>
      <w:pPr>
        <w:pStyle w:val="SectionHeading"/>
      </w:pPr>
      <w:r>
        <w:t>5. Risks, Blind Spots &amp; Kill Criteria</w:t>
      </w:r>
    </w:p>
    <w:p>
      <w:pPr>
        <w:pStyle w:val="SubHeading"/>
      </w:pPr>
      <w:r>
        <w:t>Top risks:</w:t>
      </w:r>
    </w:p>
    <w:p>
      <w:pPr>
        <w:pStyle w:val="ListBullet"/>
      </w:pPr>
      <w:r>
        <w:t>Gross margin recovers to 'low 50s' in FY2026 as Rockstar integration completes and synergies flow through — counter: Q1 2026 GAAP gross margin printed at 48.3% — the fifth consecutive quarter of deterioration from Q1 2025's 52.3%. PPI is running +13.1% YoY (FRED, May 2026), a structural input cost headwind management has not quantified. The Q4 2025 CFO cited 'tariffs' as a specific headwind, and tariff policy uncertainty remains elevated. A 300bps recovery in three quarters while input costs are accelerating is mechanically difficult. [serious]</w:t>
      </w:r>
    </w:p>
    <w:p>
      <w:pPr>
        <w:pStyle w:val="ListBullet2"/>
      </w:pPr>
      <w:r>
        <w:rPr>
          <w:i/>
        </w:rPr>
        <w:t>→ Research confirms: Celsius management confirmed Rockstar integration completion targeted for 1H 2026 (specifically by end of Q2 2026) in Q1 2026 earnings and FY2025 guidance. Multiple official sources state integration remains on track for first-half 2026 completion. (sec.gov)</w:t>
      </w:r>
    </w:p>
    <w:p>
      <w:pPr>
        <w:pStyle w:val="ListBullet2"/>
      </w:pPr>
      <w:r>
        <w:rPr>
          <w:i/>
        </w:rPr>
        <w:t>→ Research confirms: CELH management acknowledged aluminum cost pressures (Midwest premium and LME increases) in Q1 2026 earnings but did not quantify dollar impact. Management stated Q2 margins would be flat to Q1 and flagged aluminum as a key headwind to margin recovery, confirming the claim that PPI pressure remains unquantified in dollar terms. (investing.com)</w:t>
      </w:r>
    </w:p>
    <w:p>
      <w:pPr>
        <w:pStyle w:val="ListBullet"/>
      </w:pPr>
      <w:r>
        <w:t>Alani Nu sustains 60%+ pro forma growth through FY2026 as C-store ACV expands from 65% to 91% — counter: The DSD/direct mix headwind of -$26.5M in Q1 2026 (deck p.17) is a structural feature of the PepsiCo DSD transition — as Alani Nu moves from direct to DSD, the per-unit revenue recognition may be structurally lower. The 85% scanner growth rate is impressive but the reported revenue growth was only 72% (deck p.17) due to this mix effect. As DSD penetration approaches saturation (91% C-store ACV), the incremental ACV gains will slow, and the growth rate will normalize toward underlying velocity growth. [moderate]</w:t>
      </w:r>
    </w:p>
    <w:p>
      <w:pPr>
        <w:pStyle w:val="ListBullet2"/>
      </w:pPr>
      <w:r>
        <w:rPr>
          <w:i/>
        </w:rPr>
        <w:t>→ Research [UPDATES]: Management confirms DSD transition created a temporary revenue mix headwind in Q1 2026 due to higher allowances/promotions in the PepsiCo system versus prior direct business, but characterizes this as a one-time integration cost, not structural. Integration completed Q1 2026 with ~$50M synergies captured; underlying scanner growth remains strong. (fool.com)</w:t>
      </w:r>
    </w:p>
    <w:p>
      <w:pPr>
        <w:pStyle w:val="ListBullet"/>
      </w:pPr>
      <w:r>
        <w:t>The Celsius brand reaccelerates from 6% YoY in Q1 2026 as retail resets complete and shelf space gains of +17% flow through — counter: The conference deck (p.22) explicitly stages the Celsius brand recovery: 'Progressive improvement' not until Q3, 'Foundation set' not until Q4, and innovation not rolling out until Q1 2027. The 6% YoY growth in Q1 2026 occurred despite the +17% shelf space gains already being in process — suggesting the velocity improvement from additional space is modest. Consumer sentiment at 49.8 (University of Michigan, April 2026) is near recessionary lows, which historically pressures premium beverage velocity. [moderate]</w:t>
      </w:r>
    </w:p>
    <w:p>
      <w:pPr>
        <w:pStyle w:val="ListBullet2"/>
      </w:pPr>
      <w:r>
        <w:rPr>
          <w:i/>
        </w:rPr>
        <w:t>→ Research confirms: The +17% shelf space gain for CELSIUS brand is directly confirmed by multiple company filings and earnings disclosures. SEC 8-K filings and Q1 2026 earnings materials explicitly state approximately 17% additional shelf space gains during retail resets across 2026. (sec.gov)</w:t>
      </w:r>
    </w:p>
    <w:p>
      <w:pPr>
        <w:pStyle w:val="KillCriteria"/>
      </w:pPr>
      <w:r>
        <w:t>What would change our mind: Unable to close gap: Rockstar brand standalone revenue and gross margin disclosure — without this, we cannot verify whether Rockstar is dilutive to consolidated gross margin by 100bps or 300bps, which is the single largest uncertainty in the FY2026 margin model</w:t>
      </w:r>
    </w:p>
    <w:p>
      <w:pPr>
        <w:pStyle w:val="SectionHeading"/>
      </w:pPr>
      <w:r>
        <w:t>Appendix</w:t>
      </w:r>
    </w:p>
    <w:p>
      <w:pPr>
        <w:pStyle w:val="SubHeading"/>
      </w:pPr>
      <w:r>
        <w:t>Business context:</w:t>
      </w:r>
    </w:p>
    <w:p>
      <w:r>
        <w:t>Celsius Holdings sells energy drinks under three brands — Celsius (health/fitness-focused), Alani Nu (women 18-44, community-driven), and Rockstar (core male energy) — primarily through PepsiCo's U.S. Direct Store Delivery (DSD) network and international distribution partners. Revenue is generated from consumer sell-through at retail across convenience, grocery, club, and foodservice channels, with the company acting as brand owner and manufacturer rather than a distributor.</w:t>
      </w:r>
    </w:p>
    <w:p>
      <w:pPr>
        <w:pStyle w:val="SubHeading"/>
      </w:pPr>
      <w:r>
        <w:t>Evidence gaps (research TODO):</w:t>
      </w:r>
    </w:p>
    <w:p>
      <w:pPr>
        <w:pStyle w:val="ListBullet"/>
      </w:pPr>
      <w:r>
        <w:t>Rockstar brand standalone revenue and gross margin disclosure — without this, we cannot verify whether Rockstar is dilutive to consolidated gross margin by 100bps or 300bps, which is the single largest uncertainty in the FY2026 margin model</w:t>
      </w:r>
    </w:p>
    <w:p>
      <w:pPr>
        <w:pStyle w:val="ListBullet"/>
      </w:pPr>
      <w:r>
        <w:t>Quantified tariff impact in dollar terms — management has cited tariffs as a gross margin headwind across multiple quarters but has never disclosed the dollar amount, making it impossible to model the recovery trajectory with precision</w:t>
      </w:r>
    </w:p>
    <w:p>
      <w:pPr>
        <w:pStyle w:val="ListBullet"/>
      </w:pPr>
      <w:r>
        <w:t>Alani Nu standalone gross margin — management has described it as 'lower margin profile' than Celsius but has not disclosed the actual percentage, preventing accurate mix-effect modeling as Alani Nu grows to ~30% of revenue</w:t>
      </w:r>
    </w:p>
    <w:p>
      <w:pPr>
        <w:pStyle w:val="ListBullet"/>
      </w:pPr>
      <w:r>
        <w:t>Celsius brand scanner growth rate for Q2 2026 (April-June) — the only QTD data point is portfolio share at 20.9% in the four weeks ending April 12, but no Celsius-specific scanner growth rate has been disclosed for Q2 2026</w:t>
      </w:r>
    </w:p>
    <w:p>
      <w:pPr>
        <w:pStyle w:val="ListBullet"/>
      </w:pPr>
      <w:r>
        <w:t>Specific tariff exposure by commodity (aluminum, sweeteners, freight) — without this, the PPI +13.1% YoY macro signal cannot be translated into a precise gross margin impact for CELH specifically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