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CMG — CMG</w:t>
      </w:r>
    </w:p>
    <w:p>
      <w:pPr>
        <w:pStyle w:val="SmallMeta"/>
      </w:pPr>
      <w:r>
        <w:t>As of 2026-10-07  |  Schema: restaurant  |  Data: alpha_vantage (FY2025)</w:t>
      </w:r>
    </w:p>
    <w:p>
      <w:pPr>
        <w:pStyle w:val="SubHeading"/>
      </w:pPr>
      <w:r>
        <w:rPr>
          <w:color w:val="8C1D40"/>
        </w:rPr>
        <w:t>Direction: SHORT | Current: $30.77</w:t>
      </w:r>
    </w:p>
    <w:p>
      <w:pPr>
        <w:pStyle w:val="SubHeading"/>
      </w:pPr>
      <w:r>
        <w:t>Summary</w:t>
      </w:r>
    </w:p>
    <w:p>
      <w:pPr>
        <w:pStyle w:val="ListBullet"/>
      </w:pPr>
      <w:r>
        <w:t>Thesis: FY2026 is roughly in line (we get about $1.14 adjusted against $1.15 consensus), but FY2027 consensus of $1.37 needs about a 3.8% comp and about 50bp of restaurant-margin recovery at the same time. We think labor reinvestment and a wage-versus-price gap keep restaurant margin near 23.8% and comps near 2.5%, which gives about $1.31. A sub-guidance tax rate partly offsets that.</w:t>
      </w:r>
    </w:p>
    <w:p>
      <w:pPr>
        <w:pStyle w:val="ListBullet"/>
      </w:pPr>
      <w:r>
        <w:t>Next catalyst: Next quarterly earnings report (2026-10-28 (21 days))</w:t>
      </w:r>
    </w:p>
    <w:p>
      <w:pPr>
        <w:pStyle w:val="ListBullet"/>
      </w:pPr>
      <w:r>
        <w:t>Top risk: The margin compression is a temporary food-cost dislocation that ends in Q4 2026, after which margins recover with about 40% flow-through.</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$0.29</w:t>
            </w:r>
          </w:p>
        </w:tc>
        <w:tc>
          <w:tcPr>
            <w:tcW w:type="dxa" w:w="1399"/>
            <w:tcBorders>
              <w:top w:val="single" w:sz="4" w:color="BDC3C7"/>
              <w:bottom w:val="single" w:sz="4" w:color="BDC3C7"/>
              <w:left w:val="single" w:sz="4" w:color="BDC3C7"/>
              <w:right w:val="single" w:sz="4" w:color="BDC3C7"/>
            </w:tcBorders>
          </w:tcPr>
          <w:p>
            <w:r>
              <w:t>$0.28 – $0.30</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+0.2%</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$0.28</w:t>
            </w:r>
          </w:p>
        </w:tc>
        <w:tc>
          <w:tcPr>
            <w:tcW w:type="dxa" w:w="1399"/>
            <w:tcBorders>
              <w:top w:val="single" w:sz="4" w:color="BDC3C7"/>
              <w:bottom w:val="single" w:sz="4" w:color="BDC3C7"/>
              <w:left w:val="single" w:sz="4" w:color="BDC3C7"/>
              <w:right w:val="single" w:sz="4" w:color="BDC3C7"/>
            </w:tcBorders>
          </w:tcPr>
          <w:p>
            <w:r>
              <w:t>$0.26 – $0.31</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+13.5%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$1.15</w:t>
            </w:r>
          </w:p>
        </w:tc>
        <w:tc>
          <w:tcPr>
            <w:tcW w:type="dxa" w:w="1399"/>
            <w:tcBorders>
              <w:top w:val="single" w:sz="4" w:color="BDC3C7"/>
              <w:bottom w:val="single" w:sz="4" w:color="BDC3C7"/>
              <w:left w:val="single" w:sz="4" w:color="BDC3C7"/>
              <w:right w:val="single" w:sz="4" w:color="BDC3C7"/>
            </w:tcBorders>
          </w:tcPr>
          <w:p>
            <w:r>
              <w:t>$1.11 – $1.22</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$1.37</w:t>
            </w:r>
          </w:p>
        </w:tc>
        <w:tc>
          <w:tcPr>
            <w:tcW w:type="dxa" w:w="1399"/>
            <w:tcBorders>
              <w:top w:val="single" w:sz="4" w:color="BDC3C7"/>
              <w:bottom w:val="single" w:sz="4" w:color="BDC3C7"/>
              <w:left w:val="single" w:sz="4" w:color="BDC3C7"/>
              <w:right w:val="single" w:sz="4" w:color="BDC3C7"/>
            </w:tcBorders>
          </w:tcPr>
          <w:p>
            <w:r>
              <w:t>$1.27 – $1.45</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+19.0%</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↑5 / ↓0</w:t>
            </w:r>
          </w:p>
        </w:tc>
      </w:tr>
    </w:tbl>
    <w:p>
      <w:r>
        <w:t>Revenue consensus: Q $3.28B (+9.2%)  |  Q+1 $3.31B (+10.9%)  |  FY $13.03B (+9.2%)  |  FY+1 $14.44B (+10.9%)</w:t>
      </w:r>
    </w:p>
    <w:p>
      <w:r>
        <w:t>Price targets: Mean $43.76  |  Median $44.00  |  Range $35.00–$53.00  |  Current $30.71 (+42.5% to mean)</w:t>
      </w:r>
    </w:p>
    <w:p>
      <w:r>
        <w:t>Analyst ratings (n=35): Strong Buy 4 · Buy 20 · Hold 11 · Sell 0 · Strong Sell 0  ·  69% bullish</w:t>
      </w:r>
    </w:p>
    <w:p>
      <w:r>
        <w:t>Next earnings: 2026-10-28 (21d out)  ·  EPS $0.29 ($0.28–$0.30)  ·  Rev $3.28B</w:t>
      </w:r>
    </w:p>
    <w:p>
      <w:pPr>
        <w:pStyle w:val="SectionHeading"/>
      </w:pPr>
      <w:r>
        <w:t>1. Research Synthesis</w:t>
      </w:r>
    </w:p>
    <w:p>
      <w:r>
        <w:t>The setup. At $30.90 (Oct 6 close), CMG trades at 26.9x FY2026 consensus EPS of $1.15 and 22.6x FY2027 consensus of $1.37. That is close to Texas Roadhouse at 24.7x and well above Darden at 17.8x in the peer table. The question that sets the price is whether 2026 is a margin trough. The facts: GAAP operating margin was 12.9% in Q1 2026 versus 16.7% a year earlier, and 15.7% in Q2 versus 18.2%. Adjusted EPS fell 17% in Q1 and was flat at $0.33 in Q2. One reconciliation is needed first. The structured FY2025 gross margin of 25.4% matches the restaurant-level margin management cites (quarters of 26.2%, 27.4%, 24.5% and 23.4% average about 25.4%), because Alpha Vantage's cost of revenue includes all restaurant operating costs. So there is no GAAP versus non-GAAP gross margin gap to bridge. EPS is a different story. Structured FY2025 diluted EPS is $1.09, while management's adjusted figure is $1.17, and consensus FY2026 at $1.15 (-1.7% YoY) is clearly on the adjusted basis. The structured share count of 1,265.4M also does not reconcile to net income of $1,535.8M divided by $1.09, which implies about 1,409M weighted shares. The 1,265M looks like a current-period count, and it matches Q2 2026 GAAP net income of about $405M divided by $0.32. We model from about 1,265M in Q2 2026, falling to about 1,190M on average in FY2027 on the current buyback pace.</w:t>
      </w:r>
    </w:p>
    <w:p>
      <w:r>
        <w:t>Revenue and sequential trajectory. Q2 2026 revenue of $3,349M rose 8.4% sequentially. The prior-year Q2 sequential was +6.5% (Q2 2025 $3,063M vs Q1 2025 $2,875M) and two years ago it was +10.0%. So Q2 2026 was 1.9pp better than 2025's seasonal pattern, which is a real improvement, consistent with comps moving from 0.5% to 2.2%. Stripping out comps, the non-comp unit contribution has been steady: 7.2% in Q3 2025, about 6.5% in Q4 2025 after removing the $27M gift card true-up, 6.9% in Q1 2026 and 7.1% in Q2 2026. Q3 consensus of $3,280M (+9.2% YoY) therefore implies a comp of about 2%. That is a -2.1% sequential step from Q2, in line with 2025's -2.0% (Q3 2025 vs Q2 2025) and far milder than 2024's -6.0%. Management guided Q3 comps to 'around a plus 1%' and said that guide already assumes the cyclospora drag continues, after a roughly 200bp softening in late July. On two-year stacks, H1 2025 comps averaged about -2.3% (inferred from FY2025 -1.7%, Q3 +0.3% and Q4 -2.5%), so H1 2026's average of about 1.35% is a two-year stack near -1%. A 1% Q3 comp on a +0.3% compare is already a 2.3pp two-year acceleration. Consensus at 2% assumes even more. The beat history argues for consensus: management beat its Q1 guide of -1% to -2% with +0.5%, and its Q2 guide of about +1% with 2.2%. Against that, food-safety headlines returned on Oct 5 and the August salmonella lawsuit is still live. We model Q3 revenue at about $3,245M (comp about 0.8%, -3.1% sequential). Even so, Q3 EPS comes out near $0.29, because buybacks absorb the revenue gap. Q3 is in line, not an edge.</w:t>
      </w:r>
    </w:p>
    <w:p>
      <w:pPr>
        <w:pStyle w:val="PullQuote"/>
      </w:pPr>
      <w:r>
        <w:t>Counter: the analyst claims FY26 is in line at $1.14, while FY27 margin stays structurally compressed, producing a $1.31 vs $1.37 miss. — but The FY26 estimate is the bull case in disguise. It requires H2 2026 EPS growth of +6-9% YoY after H1 fell ~8%, so margin compression must narrow in H2, which is exactly the 'temporary gap closes' story the analyst rejects. If the analyst truly believes the structural view, FY26 should be ~$1.09-1.11, and FY27 has to be rebuilt from a lower base. If the analyst accepts H2 improvement, the FY27…</w:t>
      </w:r>
    </w:p>
    <w:p>
      <w:pPr>
        <w:pStyle w:val="ListBullet"/>
      </w:pPr>
      <w:r>
        <w:rPr>
          <w:i/>
        </w:rPr>
        <w:t>→ Research confirms: Food-safety headlines returned on Oct 5, 2026 regarding cyclospora and salmonella. The salmonella lawsuit was filed in August 2026 and remains active as of late September 2026, with ongoing case intake. (quiverquant.com)</w:t>
      </w:r>
    </w:p>
    <w:p>
      <w:r>
        <w:t>The FY2027 revenue ask. Consensus FY2027 revenue of $14,443M is +10.9%. With unit contribution running about 7%, that implies a comp of roughly 3.5-4%, against a 2026 we model at about 1.5% (Q1 0.5, Q2 2.2, Q3 about 0.8, Q4 about 3.0). The bull case leans on three things, all category (e) narrative. First, HEEP stores 'comp hundreds of bp better', with 200-400bp cited in Q1. Second, the rollout reaches about 2,000 stores by year-end and finishes in 2027. Third, a national catering launch in 2027. We tested the comp engine against the five SSS questions. (1) New product versus core: Q2 transactions rose only 1.0%. Management says protein LTOs alone 'typically generate a few hundred basis points of transaction width over the life of the promotion', and Honey Chicken attachment was 'north of 25%'. That suggests core traffic outside the LTOs may be flat to negative, though we cannot prove it. (2) Repeat versus trial: the engine is four LTOs a year, which is a treadmill that 2027 has to lap. (3) Category ownership: Chipotle owns fast-casual Mexican, but analysts flagged chicken and bowl competition, and CAVA's consensus revenue growth is +27.5%. (4) Investment: marketing rose 90bp in Q3 2025, 50bp in Q4, 40bp in Q1 and 30bp in Q2. These are category (c) actions, and Q1 marketing dollars were up about 22%. (5) Lap drag: Q2 2027 laps a 2.2% comp built on Honey Chicken, the Rewards relaunch and Summer of Extras. Mix is also still a drag. In Q1, mix cost about 100bp and check fell 0.1% despite roughly 0.7% price. In Q2, check rose 1.2% on about 1.6% price. Macro is mixed. Michigan sentiment is 51.7 (-11.2% YoY) and the saving rate is 4.1% (-21% YoY), but credit card delinquencies are down 6.2% and unemployment is 4.2%. Food-away-from-home CPI (+3.4%) is running ahead of food-at-home (+2.2%), and the CEO himself said in Q3 2025 that lost visits go 'to grocery and food at home'. We use a 2.5% FY2027 comp and about $14,190M of revenue.</w:t>
      </w:r>
    </w:p>
    <w:p>
      <w:pPr>
        <w:pStyle w:val="ListBullet"/>
      </w:pPr>
      <w:r>
        <w:rPr>
          <w:i/>
        </w:rPr>
        <w:t>→ Research confirms: Chipotle Q2 2026 earnings confirm HEEP deployment target of 2,000 stores by year-end 2026 and full portfolio completion in 2027, exactly matching the verbatim claim. (theglobeandmail.com)</w:t>
      </w:r>
    </w:p>
    <w:p>
      <w:pPr>
        <w:pStyle w:val="ListBullet"/>
      </w:pPr>
      <w:r>
        <w:rPr>
          <w:i/>
        </w:rPr>
        <w:t>→ Research confirms: Chipotle CEO Scott Boatwright confirmed in Q2 2026 earnings call that the chain is working toward a national catering launch in 2027, directly matching the verbatim claim. (restaurantdive.com)</w:t>
      </w:r>
    </w:p>
    <w:p>
      <w:r>
        <w:t>The margin bridge is where we disagree most. Management's story is a 150bp price-versus-inflation 'dislocation' (Q4 2025 call) that is 'temporary' and gone by Q4 2026, when 'those 2 to match'. The reported numbers do not fit that story. In Q2, restaurant margin fell 220bp. Cost of sales explained only 80bp and marketing 30bp, so about 110bp came from labor, occupancy and other costs. The CFO attributed the labor increase to 'wage inflation and performance bonuses in addition to labor execution in restaurants as we lean into the guest experience'. The CEO said, as a statement against interest, that HEEP labor savings are being reinvested, not banked: 'we are reinvesting the two to three hours of efficiency back into our restaurants'. BLS leisure and hospitality wages are up 3.9% YoY. Chipotle's menu pricing is about 2.5% in Q3, and we expect roughly 2.5-3% in 2027. On a labor line near 25.5% of sales, that gap alone is worth about 20-35bp of deleverage a year unless transactions grow well above 1%. The CEO's Q3 2025 promise to expand margins at 'around 40%' flow-through 'regardless of what's going on with the economy' is refuted by three straight quarters of YoY operating-margin decline — Q4 2025 -50bp (14.1% vs 14.6%), Q1 2026 -380bp (12.9% vs 16.7%), and Q2 2026 -250bp (15.7% vs 18.2%) — all while revenue grew roughly 5-9% YoY. The Q1 decline is the most alarming at nearly four full percentage points, and even the comparatively modest Q4 2025 deterioration of 50bp occurred against a backdrop of positive revenue growth. Below the restaurant line, costs are growing faster than sales. Restaurant-level profit minus operating income was $322M in Q1 2026 versus $275M (+17%) and $319M in Q2 versus $279M (+14%). Pre-opening costs rose to 0.5% of revenue from 0.3%, impairment and closure costs to 0.4% from 0.2%, and adjusted G&amp;A grew 10% to $176.2M. The macro input data adds risk, not comfort: PPI all commodities is up 9.9% YoY, while management's guide has H2 food inflation stepping down to about 3%. On our numbers, FY2026 restaurant margin lands near 23.9%, about 150bp below FY2025. Consensus FY2027 EPS of $1.37 back-solves to restaurant margin of about 24.3-24.4%, meaning a 40-50bp recovery. We hold 23.8%.</w:t>
      </w:r>
    </w:p>
    <w:p>
      <w:pPr>
        <w:pStyle w:val="ListBullet"/>
      </w:pPr>
      <w:r>
        <w:rPr>
          <w:i/>
        </w:rPr>
        <w:t>→ Research [UPDATES]: The $176.2M adjusted G&amp;A figure is accurate but pertains to Q2 2026, not Q1 2026. Q1 2026 adjusted G&amp;A was $197.9M. The 10% growth rate applies to Q2 2026 YoY comparison ($176.2M vs. $159.9M in Q2 2025). (chipotle.com)</w:t>
      </w:r>
    </w:p>
    <w:p>
      <w:r>
        <w:t>The EPS bridge and capital return. Our FY2027 model: revenue $14,190M, restaurant margin 23.8% gives $3,377M; non-restaurant costs grow about 8% to about $1,395M; operating income is about $1,982M (14.0%); interest income is about $25M as cash funds buybacks; tax is 24%; average diluted shares are about 1,190M. That yields about $1.28 GAAP and about $1.30-1.31 after typical adjustments. Consensus is $1.37 and the range is $1.27-1.45. The buyback is doing heavy lifting on both sides. Management bought $687M at $42.39 in Q3 2025, $742M at $34.14 in Q4 2025, $701M in Q1 2026 and $631M at $32.55 in Q2 2026, and the board added $1.8B and then $1.3B of authorization. All of those purchases are underwater at $30.90. That is a confident, money-backed signal that management sees the shares as cheap. It is not a sign of a shrinking runway, because unit growth stays near 350 a year. It also means EPS growth runs about 5pp ahead of net income growth. Consensus net income growth for FY2027 is only about 11-12%, roughly in line with revenue, so the EPS debate is really about margin. Tax works in the stock's favor. Management guided 25-27% in each of FY2023-FY2025 and delivered 24.2%, 23.7% and 23.6%, missing low every time (n=3, bias -1.3pp). The FY2026 guide is 24-26%, and the Q2 adjusted rate was 24.0%. If any of the street sits at the 25% midpoint, a 24% rate adds about $0.02 to FY2027.</w:t>
      </w:r>
    </w:p>
    <w:p>
      <w:pPr>
        <w:pStyle w:val="ListBullet"/>
      </w:pPr>
      <w:r>
        <w:rPr>
          <w:i/>
        </w:rPr>
        <w:t>→ Research confirms: Board approved $1.8B authorization in December 2025 and $1.3B authorization in July 2026. Both authorizations are documented in SEC filings and news sources. (sec.gov)</w:t>
      </w:r>
    </w:p>
    <w:p>
      <w:pPr>
        <w:pStyle w:val="ListBullet"/>
      </w:pPr>
      <w:r>
        <w:rPr>
          <w:i/>
        </w:rPr>
        <w:t>→ Research: Multiple executive sales documented in 2026: Curtis Garner (Pres, Chief Strategy &amp; Tech Officer) sold 61,077 shares at $40.01 on Feb 6, 2026; Ilene Eskenazi (CHRO) sold 56,128 shares at $43.15 in Aug 2025. Insider selling outweighs purchases, with 65% of corporate insiders selling per recent Form 4 filings. (sec.gov)</w:t>
      </w:r>
    </w:p>
    <w:p>
      <w:r>
        <w:t>Credibility signals. The guidance track record has two sides. On FY comps, management sandbagged 2026 ('about flat', then 'low single-digit') but missed FY2025 by 5.2pp (guided 2-5%, delivered -1.7%), so the shrunk bias is only +0.08pp. On units it reliably hits the high end, at 345 against a 315-345 guide in 2025. Three signals matter for FY2027. First, the ~80% new-restaurant productivity and ~60% year-two cash-on-cash figures, last cited in Q3 2025, have disappeared. A garbled Q1 2026 Q&amp;A fragment refers to a '40% return on investment in year two', and we cannot tell whether that describes Europe or North America. Second, the Q2 2026 lead question was effectively 'you are spending a lot to get 1-2% comps, why will 2027 be better'. The CEO answered with a cyclospora food-safety statement instead. Third, the CEO's Q3 2025 promise of 'mid-single-digit comp growth' in 2026 became a flat guide one quarter later and is now 'low single digit'. Tone has improved to 'confident', and QTD language was positive for three straight calls. But the one forward data point that matters most, 'trends have been softer in recent weeks', was the last thing management said about Q3.</w:t>
      </w:r>
    </w:p>
    <w:p>
      <w:r>
        <w:t>News, ownership and positioning. The October tape is noisy. Shares fell 4-6.3% on Oct 5 on returning food-safety headlines, with unusually high put buying, then bounced on Oct 6 on Chipotle-Starbucks merger rumors that management has not addressed. We put little weight on the merger talk. A combination of that size has no corpus support, and a retail post says it well: the company is probably 'too big to be taken over'. Ownership needs a correction. The ownership block shows Pershing Square at 4.2%, but that comes from a 2020 13D/A. The 13F flow shows Pershing fully exited in Q4 2025 (-$844M) and Viking exited (-$260M). Third Point opened a new $175M position at 2.4% of its fund, a real conviction bet, while Citadel and Millennium added positions that look more like trading. Short interest is only about 4% of float, so this is not a crowded short and there is no squeeze setup. The only open-market insider sale, by the controller, was $0.1M at $35.75 on Aug 21, which is immaterial. Credit markets are risk-on, with HY buying on both the day and the 30-day average. So the recent slide looks partly mechanical (sector selling, headline risk) and partly fundamental (margins genuinely down 200bp+).</w:t>
      </w:r>
    </w:p>
    <w:p>
      <w:r>
        <w:t>Bear case to our view, and the mispricing read. The strongest case against us is the evidence of execution momentum. Max-15 throughput has accelerated for two straight quarters, linebacker deployment passed 70% of restaurants, HEEP reaches about 2,000 stores by year-end, and every European country comped high single digits in Q2. If HEEP really adds 200-400bp in equipped stores and coverage rises from about 25% to about 75% of the base on average in 2027, that alone is 1-1.5pp of system comp. Add catering, and a 4% comp with 24.5% restaurant margin and $1.40+ EPS is reachable. Management has also beaten its last two quarterly comp guides by 1.2-2pp. Our view changes if three things happen at the late-October Q3 print (the Q3 2025 call was Oct 29): Q3 comps print at 2% or better despite cyclospora, labor as a percent of sales is flat YoY, and the Q4 restaurant-margin guide is flat or up YoY after excluding the gift card true-up. The second test is the FY2027 framework on the Q4 call in early February 2027. On the mispricing, we do not see a 'better and cheaper' setup. The stock is cheaper than its own history at about 23x our FY2027 number, but the fundamentals have not yet improved at the margin line. We expect FY2027 estimates to drift down about 4-5% as the Q4 margin guide fails to show the promised recovery. Most of that is already reflected in the multiple, so we are neutral on the stock and below consensus on FY2027 EPS.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$0.29</w:t>
            </w:r>
          </w:p>
        </w:tc>
        <w:tc>
          <w:tcPr>
            <w:tcW w:type="dxa" w:w="3264"/>
            <w:tcBorders>
              <w:top w:val="single" w:sz="4" w:color="BDC3C7"/>
              <w:bottom w:val="single" w:sz="4" w:color="BDC3C7"/>
              <w:left w:val="single" w:sz="4" w:color="BDC3C7"/>
              <w:right w:val="single" w:sz="4" w:color="BDC3C7"/>
            </w:tcBorders>
          </w:tcPr>
          <w:p>
            <w:r>
              <w:t>$3,280M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$0.28</w:t>
            </w:r>
          </w:p>
        </w:tc>
        <w:tc>
          <w:tcPr>
            <w:tcW w:type="dxa" w:w="3264"/>
            <w:tcBorders>
              <w:top w:val="single" w:sz="4" w:color="BDC3C7"/>
              <w:bottom w:val="single" w:sz="4" w:color="BDC3C7"/>
              <w:left w:val="single" w:sz="4" w:color="BDC3C7"/>
              <w:right w:val="single" w:sz="4" w:color="BDC3C7"/>
            </w:tcBorders>
          </w:tcPr>
          <w:p>
            <w:r>
              <w:t>$3,307M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$1.15</w:t>
            </w:r>
          </w:p>
        </w:tc>
        <w:tc>
          <w:tcPr>
            <w:tcW w:type="dxa" w:w="3264"/>
            <w:tcBorders>
              <w:top w:val="single" w:sz="4" w:color="BDC3C7"/>
              <w:bottom w:val="single" w:sz="4" w:color="BDC3C7"/>
              <w:left w:val="single" w:sz="4" w:color="BDC3C7"/>
              <w:right w:val="single" w:sz="4" w:color="BDC3C7"/>
            </w:tcBorders>
          </w:tcPr>
          <w:p>
            <w:r>
              <w:t>$13,028M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$1.37</w:t>
            </w:r>
          </w:p>
        </w:tc>
        <w:tc>
          <w:tcPr>
            <w:tcW w:type="dxa" w:w="3264"/>
            <w:tcBorders>
              <w:top w:val="single" w:sz="4" w:color="BDC3C7"/>
              <w:bottom w:val="single" w:sz="4" w:color="BDC3C7"/>
              <w:left w:val="single" w:sz="4" w:color="BDC3C7"/>
              <w:right w:val="single" w:sz="4" w:color="BDC3C7"/>
            </w:tcBorders>
          </w:tcPr>
          <w:p>
            <w:r>
              <w:t>$14,443M</w:t>
            </w:r>
          </w:p>
        </w:tc>
      </w:tr>
    </w:tbl>
    <w:p>
      <w:pPr>
        <w:pStyle w:val="SubHeading"/>
      </w:pPr>
      <w:r>
        <w:t>Management guidance:</w:t>
      </w:r>
    </w:p>
    <w:p>
      <w:pPr>
        <w:pStyle w:val="ListBullet"/>
      </w:pPr>
      <w:r>
        <w:t>Same-Store Sales (FY2026): we now expect full year comp sales growth in the low single-digit range  — Q2 2026, call, CFO</w:t>
      </w:r>
    </w:p>
    <w:p>
      <w:pPr>
        <w:pStyle w:val="ListBullet"/>
      </w:pPr>
      <w:r>
        <w:t>Other Pricing Impact (Q3 2026): we anticipate it will increase to the mid-2% range in Q3  — Q2 2026, call, CFO</w:t>
      </w:r>
    </w:p>
    <w:p>
      <w:pPr>
        <w:pStyle w:val="ListBullet"/>
      </w:pPr>
      <w:r>
        <w:t>Other Pricing Impact (FY2026): we expect to land near the high end of the 1% to 2% range we communicated earlier this year  — Q2 2026, call, CFO</w:t>
      </w:r>
    </w:p>
    <w:p>
      <w:pPr>
        <w:pStyle w:val="ListBullet"/>
      </w:pPr>
      <w:r>
        <w:t>Units Heep Equipped Restaurants (FY2026): The equipment is now installed in more than 1,000 restaurants.  — Q2 2026, call, CEO</w:t>
      </w:r>
    </w:p>
    <w:p>
      <w:pPr>
        <w:pStyle w:val="ListBullet"/>
      </w:pPr>
      <w:r>
        <w:t>Units (long-term): builds even greater confidence in our ability to operate at least 7,000 restaurants across the region  — Q2 2026, call, CFO</w:t>
      </w:r>
    </w:p>
    <w:p>
      <w:pPr>
        <w:pStyle w:val="ListBullet"/>
      </w:pPr>
      <w:r>
        <w:t>Revenue (FY2026): full-year cost-of-sales inflation of around 4%  — Q1 2026,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$14.4B</w:t>
            </w:r>
          </w:p>
        </w:tc>
        <w:tc>
          <w:tcPr>
            <w:tcW w:type="dxa" w:w="1632"/>
            <w:tcBorders>
              <w:top w:val="single" w:sz="4" w:color="BDC3C7"/>
              <w:bottom w:val="single" w:sz="4" w:color="BDC3C7"/>
              <w:left w:val="single" w:sz="4" w:color="BDC3C7"/>
              <w:right w:val="single" w:sz="4" w:color="BDC3C7"/>
            </w:tcBorders>
          </w:tcPr>
          <w:p>
            <w:r>
              <w:t>$14.2B</w:t>
            </w:r>
          </w:p>
        </w:tc>
        <w:tc>
          <w:tcPr>
            <w:tcW w:type="dxa" w:w="1632"/>
            <w:tcBorders>
              <w:top w:val="single" w:sz="4" w:color="BDC3C7"/>
              <w:bottom w:val="single" w:sz="4" w:color="BDC3C7"/>
              <w:left w:val="single" w:sz="4" w:color="BDC3C7"/>
              <w:right w:val="single" w:sz="4" w:color="BDC3C7"/>
            </w:tcBorders>
          </w:tcPr>
          <w:p>
            <w:r>
              <w:t>-0.04</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$1.37</w:t>
            </w:r>
          </w:p>
        </w:tc>
        <w:tc>
          <w:tcPr>
            <w:tcW w:type="dxa" w:w="1632"/>
            <w:tcBorders>
              <w:top w:val="single" w:sz="4" w:color="BDC3C7"/>
              <w:bottom w:val="single" w:sz="4" w:color="BDC3C7"/>
              <w:left w:val="single" w:sz="4" w:color="BDC3C7"/>
              <w:right w:val="single" w:sz="4" w:color="BDC3C7"/>
            </w:tcBorders>
          </w:tcPr>
          <w:p>
            <w:r>
              <w:t>$1.31</w:t>
            </w:r>
          </w:p>
        </w:tc>
        <w:tc>
          <w:tcPr>
            <w:tcW w:type="dxa" w:w="1632"/>
            <w:tcBorders>
              <w:top w:val="single" w:sz="4" w:color="BDC3C7"/>
              <w:bottom w:val="single" w:sz="4" w:color="BDC3C7"/>
              <w:left w:val="single" w:sz="4" w:color="BDC3C7"/>
              <w:right w:val="single" w:sz="4" w:color="BDC3C7"/>
            </w:tcBorders>
          </w:tcPr>
          <w:p>
            <w:r>
              <w:t>-0.04</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consensus_next_fy_revenue</w:t>
      </w:r>
    </w:p>
    <w:p>
      <w:r>
        <w:t>Unit contribution has run 6.5-7.2% of revenue growth for four straight quarters, so consensus +10.9% implies a FY2027 comp of about 3.5-4%. That is nearly 2.5x our FY2026 comp of about 1.5%, on a base built by an LTO treadmill with only +1.0% transactions in the best quarter. We use a 2.5% comp.</w:t>
      </w:r>
    </w:p>
    <w:p>
      <w:r>
        <w:t>Street anchor: $14.4B (yfinance consensus, Next FY (FY2027), 34 analysts) → Our view: $14.2B</w:t>
      </w:r>
    </w:p>
    <w:p>
      <w:pPr>
        <w:pStyle w:val="PullQuote"/>
      </w:pPr>
      <w:r>
        <w:t>“Comparable restaurant sales increased 2.2%, consisting of a 1.2% increase in average check and a 1.0% increase in transactions.”  (press_release)</w:t>
      </w:r>
    </w:p>
    <w:p>
      <w:pPr>
        <w:pStyle w:val="PullQuote"/>
      </w:pPr>
      <w:r>
        <w:t>“Our protein limited time offers typically generate a few hundred basis points of transaction width over the life of the promotion.”  (transcript)</w:t>
      </w:r>
    </w:p>
    <w:p>
      <w:pPr>
        <w:pStyle w:val="PullQuote"/>
      </w:pPr>
      <w:r>
        <w:t>“We were pleased to see this momentum carry into early July, but trends have been softer in recent weeks”  (transcript)</w:t>
      </w:r>
    </w:p>
    <w:p>
      <w:r>
        <w:t>Why not consensus: Sell-side models FY2027 revenue top-down from the improving 2026 exit rate and the HEEP narrative. They do not split growth into the steady ~7% unit contribution to see the implied ~3.8% comp, and they do not stress-test how much of the 2026 transaction gain came from LTOs that 2027 must lap. FY2027 revisions are 5 up and 0 down in 30 days, which shows drift toward the bull case rather than decomposition.</w:t>
      </w:r>
    </w:p>
    <w:p>
      <w:pPr>
        <w:pStyle w:val="KillCriteria"/>
      </w:pPr>
      <w:r>
        <w:t>Falsifier: Q3 2026 comp of 2.0% or better and Q4 2026 comp of 4% or better excluding the gift card true-up, or an initial FY2027 comp guide of mid-single digits on the February 2027 call.</w:t>
      </w:r>
    </w:p>
    <w:p>
      <w:pPr>
        <w:pStyle w:val="SubHeading"/>
      </w:pPr>
      <w:r>
        <w:t>Claim 2 — consensus_next_fy_eps</w:t>
      </w:r>
    </w:p>
    <w:p>
      <w:r>
        <w:t>Consensus FY2027 EPS back-solves to restaurant margin of about 24.3-24.4%, a 40-50bp recovery from our ~23.9% FY2026. Labor reinvestment, a wage-versus-price gap and non-restaurant costs growing faster than sales point to about 23.8% instead. $1.31 combines the margin piece (-$0.04), the revenue claim (-$0.04) and the tax offset (+$0.02).</w:t>
      </w:r>
    </w:p>
    <w:p>
      <w:r>
        <w:t>Street anchor: $1.37 (yfinance consensus, Next FY (FY2027), 34 analysts) → Our view: $1.31</w:t>
      </w:r>
    </w:p>
    <w:p>
      <w:pPr>
        <w:pStyle w:val="PullQuote"/>
      </w:pPr>
      <w:r>
        <w:t>“For now, we are reinvesting the two to three hours of efficiency back into our restaurants to deliver greater hospitality.”  (transcript)</w:t>
      </w:r>
    </w:p>
    <w:p>
      <w:pPr>
        <w:pStyle w:val="PullQuote"/>
      </w:pPr>
      <w:r>
        <w:t>“The increase was primarily driven by wage inflation and performance bonuses in addition to labor execution in restaurants as we lean into the guest experience”  (transcript)</w:t>
      </w:r>
    </w:p>
    <w:p>
      <w:pPr>
        <w:pStyle w:val="PullQuote"/>
      </w:pPr>
      <w:r>
        <w:t>“Restaurant-level margin was 25.2%, down 220 basis points year-over-year.”  (transcript)</w:t>
      </w:r>
    </w:p>
    <w:p>
      <w:r>
        <w:t>Why not consensus: The street has adopted management's framing that the margin gap is a food-cost dislocation that ends in Q4 2026. But Q2 cost of sales explained only 80bp of the 220bp decline. The labor, marketing and below-the-line cost growth (14-17% YoY in H1) shows up only when you rebuild the bridge line by line across quarters, which single-quarter models skip.</w:t>
      </w:r>
    </w:p>
    <w:p>
      <w:pPr>
        <w:pStyle w:val="KillCriteria"/>
      </w:pPr>
      <w:r>
        <w:t>Falsifier: Q3 2026 labor as a percent of sales flat or down YoY, and a Q4 2026 restaurant-margin guide flat or up YoY excluding the gift card true-up, on the late-October print.</w:t>
      </w:r>
    </w:p>
    <w:p>
      <w:r>
        <w:t>Management tone shift in Q3 2025→Q4 2025: overall business performance framing: upgrade — Management pivoted from admitting a miss to reframing the full year positively, signaling a delibera</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same_store_sales</w:t>
            </w:r>
          </w:p>
        </w:tc>
        <w:tc>
          <w:tcPr>
            <w:tcW w:type="dxa" w:w="2448"/>
            <w:tcBorders>
              <w:top w:val="single" w:sz="4" w:color="BDC3C7"/>
              <w:bottom w:val="single" w:sz="4" w:color="BDC3C7"/>
              <w:left w:val="single" w:sz="4" w:color="BDC3C7"/>
              <w:right w:val="single" w:sz="4" w:color="BDC3C7"/>
            </w:tcBorders>
          </w:tcPr>
          <w:p>
            <w:r>
              <w:rPr>
                <w:b/>
              </w:rPr>
              <w:t>+1.83%</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transactions</w:t>
            </w:r>
          </w:p>
        </w:tc>
        <w:tc>
          <w:tcPr>
            <w:tcW w:type="dxa" w:w="2448"/>
            <w:tcBorders>
              <w:top w:val="single" w:sz="4" w:color="BDC3C7"/>
              <w:bottom w:val="single" w:sz="4" w:color="BDC3C7"/>
              <w:left w:val="single" w:sz="4" w:color="BDC3C7"/>
              <w:right w:val="single" w:sz="4" w:color="BDC3C7"/>
            </w:tcBorders>
          </w:tcPr>
          <w:p>
            <w:r>
              <w:t>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In the Q1 2026 call, CFO Adam Rymer said transactions were 'up about 60 basis points'. The Q2 2026 press release showed a 1.0% transaction increase. For H2, the CFO flagged a roughly 200bp late-July softening around cycl</w:t>
            </w:r>
          </w:p>
        </w:tc>
      </w:tr>
      <w:tr>
        <w:tc>
          <w:tcPr>
            <w:tcW w:type="dxa" w:w="2448"/>
            <w:tcBorders>
              <w:top w:val="single" w:sz="4" w:color="BDC3C7"/>
              <w:bottom w:val="single" w:sz="4" w:color="BDC3C7"/>
              <w:left w:val="single" w:sz="4" w:color="BDC3C7"/>
              <w:right w:val="single" w:sz="4" w:color="BDC3C7"/>
            </w:tcBorders>
          </w:tcPr>
          <w:p>
            <w:r>
              <w:t xml:space="preserve">    average_check</w:t>
            </w:r>
          </w:p>
        </w:tc>
        <w:tc>
          <w:tcPr>
            <w:tcW w:type="dxa" w:w="2448"/>
            <w:tcBorders>
              <w:top w:val="single" w:sz="4" w:color="BDC3C7"/>
              <w:bottom w:val="single" w:sz="4" w:color="BDC3C7"/>
              <w:left w:val="single" w:sz="4" w:color="BDC3C7"/>
              <w:right w:val="single" w:sz="4" w:color="BDC3C7"/>
            </w:tcBorders>
          </w:tcPr>
          <w:p>
            <w:r>
              <w:t>+1.50%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Pricing was about 0.7% in Q1, 1.6% in Q2, and guided to mid-2% in Q3, with the CFO expecting to land 'near the high end of the 1% to 2% range' for the year. That guide has no track record and is treated as unverified. Mi</w:t>
            </w:r>
          </w:p>
        </w:tc>
      </w:tr>
      <w:tr>
        <w:tc>
          <w:tcPr>
            <w:tcW w:type="dxa" w:w="2448"/>
            <w:tcBorders>
              <w:top w:val="single" w:sz="4" w:color="BDC3C7"/>
              <w:bottom w:val="single" w:sz="4" w:color="BDC3C7"/>
              <w:left w:val="single" w:sz="4" w:color="BDC3C7"/>
              <w:right w:val="single" w:sz="4" w:color="BDC3C7"/>
            </w:tcBorders>
          </w:tcPr>
          <w:p>
            <w:r>
              <w:rPr>
                <w:b/>
              </w:rPr>
              <w:t>new_unit_openings</w:t>
            </w:r>
          </w:p>
        </w:tc>
        <w:tc>
          <w:tcPr>
            <w:tcW w:type="dxa" w:w="2448"/>
            <w:tcBorders>
              <w:top w:val="single" w:sz="4" w:color="BDC3C7"/>
              <w:bottom w:val="single" w:sz="4" w:color="BDC3C7"/>
              <w:left w:val="single" w:sz="4" w:color="BDC3C7"/>
              <w:right w:val="single" w:sz="4" w:color="BDC3C7"/>
            </w:tcBorders>
          </w:tcPr>
          <w:p>
            <w:r>
              <w:rPr>
                <w:b/>
              </w:rPr>
              <w:t>367</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company_owned_openings</w:t>
            </w:r>
          </w:p>
        </w:tc>
        <w:tc>
          <w:tcPr>
            <w:tcW w:type="dxa" w:w="2448"/>
            <w:tcBorders>
              <w:top w:val="single" w:sz="4" w:color="BDC3C7"/>
              <w:bottom w:val="single" w:sz="4" w:color="BDC3C7"/>
              <w:left w:val="single" w:sz="4" w:color="BDC3C7"/>
              <w:right w:val="single" w:sz="4" w:color="BDC3C7"/>
            </w:tcBorders>
          </w:tcPr>
          <w:p>
            <w:r>
              <w:t>360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 xml:space="preserve">The 2026-07-29 press release guides 350-370 total openings (raw midpoint 360, bias-adjusted 364.5, n=3, management guides low). On the Q1 and Q2 calls, the CEO repeatedly said 'approximately 350'. H1 delivered about 142 </w:t>
            </w:r>
          </w:p>
        </w:tc>
      </w:tr>
      <w:tr>
        <w:tc>
          <w:tcPr>
            <w:tcW w:type="dxa" w:w="2448"/>
            <w:tcBorders>
              <w:top w:val="single" w:sz="4" w:color="BDC3C7"/>
              <w:bottom w:val="single" w:sz="4" w:color="BDC3C7"/>
              <w:left w:val="single" w:sz="4" w:color="BDC3C7"/>
              <w:right w:val="single" w:sz="4" w:color="BDC3C7"/>
            </w:tcBorders>
          </w:tcPr>
          <w:p>
            <w:r>
              <w:t xml:space="preserve">    partner_operated_openings</w:t>
            </w:r>
          </w:p>
        </w:tc>
        <w:tc>
          <w:tcPr>
            <w:tcW w:type="dxa" w:w="2448"/>
            <w:tcBorders>
              <w:top w:val="single" w:sz="4" w:color="BDC3C7"/>
              <w:bottom w:val="single" w:sz="4" w:color="BDC3C7"/>
              <w:left w:val="single" w:sz="4" w:color="BDC3C7"/>
              <w:right w:val="single" w:sz="4" w:color="BDC3C7"/>
            </w:tcBorders>
          </w:tcPr>
          <w:p>
            <w:r>
              <w:t>7</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 xml:space="preserve">In 2025, 11 partner-operated units opened. In Q1 2026, the CEO conceded, as a statement against interest, that Middle East openings will be delayed and Singapore slips to 2027. Q2 had one partner opening, and Monterrey, </w:t>
            </w:r>
          </w:p>
        </w:tc>
      </w:tr>
      <w:tr>
        <w:tc>
          <w:tcPr>
            <w:tcW w:type="dxa" w:w="2448"/>
            <w:tcBorders>
              <w:top w:val="single" w:sz="4" w:color="BDC3C7"/>
              <w:bottom w:val="single" w:sz="4" w:color="BDC3C7"/>
              <w:left w:val="single" w:sz="4" w:color="BDC3C7"/>
              <w:right w:val="single" w:sz="4" w:color="BDC3C7"/>
            </w:tcBorders>
          </w:tcPr>
          <w:p>
            <w:r>
              <w:rPr>
                <w:b/>
              </w:rPr>
              <w:t>food_cost</w:t>
            </w:r>
          </w:p>
        </w:tc>
        <w:tc>
          <w:tcPr>
            <w:tcW w:type="dxa" w:w="2448"/>
            <w:tcBorders>
              <w:top w:val="single" w:sz="4" w:color="BDC3C7"/>
              <w:bottom w:val="single" w:sz="4" w:color="BDC3C7"/>
              <w:left w:val="single" w:sz="4" w:color="BDC3C7"/>
              <w:right w:val="single" w:sz="4" w:color="BDC3C7"/>
            </w:tcBorders>
          </w:tcPr>
          <w:p>
            <w:r>
              <w:rPr>
                <w:b/>
              </w:rPr>
              <w:t>+50bps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food_beverage_packaging_delta</w:t>
            </w:r>
          </w:p>
        </w:tc>
        <w:tc>
          <w:tcPr>
            <w:tcW w:type="dxa" w:w="2448"/>
            <w:tcBorders>
              <w:top w:val="single" w:sz="4" w:color="BDC3C7"/>
              <w:bottom w:val="single" w:sz="4" w:color="BDC3C7"/>
              <w:left w:val="single" w:sz="4" w:color="BDC3C7"/>
              <w:right w:val="single" w:sz="4" w:color="BDC3C7"/>
            </w:tcBorders>
          </w:tcPr>
          <w:p>
            <w:r>
              <w:t>+50bps</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 xml:space="preserve">Reported cost of sales was 29.6% in Q1 2026 (+40bp YoY) and 29.7% in Q2 (+80bp YoY). For Q3, the CFO guided inflation of about 3% against mid-2% pricing, so a further gap of about 30-40bp versus Q3 2025's 30.0%. For Q4, </w:t>
            </w:r>
          </w:p>
        </w:tc>
      </w:tr>
      <w:tr>
        <w:tc>
          <w:tcPr>
            <w:tcW w:type="dxa" w:w="2448"/>
            <w:tcBorders>
              <w:top w:val="single" w:sz="4" w:color="BDC3C7"/>
              <w:bottom w:val="single" w:sz="4" w:color="BDC3C7"/>
              <w:left w:val="single" w:sz="4" w:color="BDC3C7"/>
              <w:right w:val="single" w:sz="4" w:color="BDC3C7"/>
            </w:tcBorders>
          </w:tcPr>
          <w:p>
            <w:r>
              <w:rPr>
                <w:b/>
              </w:rPr>
              <w:t>labor_cost</w:t>
            </w:r>
          </w:p>
        </w:tc>
        <w:tc>
          <w:tcPr>
            <w:tcW w:type="dxa" w:w="2448"/>
            <w:tcBorders>
              <w:top w:val="single" w:sz="4" w:color="BDC3C7"/>
              <w:bottom w:val="single" w:sz="4" w:color="BDC3C7"/>
              <w:left w:val="single" w:sz="4" w:color="BDC3C7"/>
              <w:right w:val="single" w:sz="4" w:color="BDC3C7"/>
            </w:tcBorders>
          </w:tcPr>
          <w:p>
            <w:r>
              <w:rPr>
                <w:b/>
              </w:rPr>
              <w:t>+44bps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labor_delta</w:t>
            </w:r>
          </w:p>
        </w:tc>
        <w:tc>
          <w:tcPr>
            <w:tcW w:type="dxa" w:w="2448"/>
            <w:tcBorders>
              <w:top w:val="single" w:sz="4" w:color="BDC3C7"/>
              <w:bottom w:val="single" w:sz="4" w:color="BDC3C7"/>
              <w:left w:val="single" w:sz="4" w:color="BDC3C7"/>
              <w:right w:val="single" w:sz="4" w:color="BDC3C7"/>
            </w:tcBorders>
          </w:tcPr>
          <w:p>
            <w:r>
              <w:t>+44bps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In Q1 2026, labor was 25.7%, up 70bp YoY per the CFO. Q2 labor rose on wage inflation, performance bonuses and added labor hours. The CEO said HEEP's two to three hours of daily efficiency are being reinvested, not banke</w:t>
            </w:r>
          </w:p>
        </w:tc>
      </w:tr>
      <w:tr>
        <w:tc>
          <w:tcPr>
            <w:tcW w:type="dxa" w:w="2448"/>
            <w:tcBorders>
              <w:top w:val="single" w:sz="4" w:color="BDC3C7"/>
              <w:bottom w:val="single" w:sz="4" w:color="BDC3C7"/>
              <w:left w:val="single" w:sz="4" w:color="BDC3C7"/>
              <w:right w:val="single" w:sz="4" w:color="BDC3C7"/>
            </w:tcBorders>
          </w:tcPr>
          <w:p>
            <w:r>
              <w:rPr>
                <w:b/>
              </w:rPr>
              <w:t>other_restaurant_costs</w:t>
            </w:r>
          </w:p>
        </w:tc>
        <w:tc>
          <w:tcPr>
            <w:tcW w:type="dxa" w:w="2448"/>
            <w:tcBorders>
              <w:top w:val="single" w:sz="4" w:color="BDC3C7"/>
              <w:bottom w:val="single" w:sz="4" w:color="BDC3C7"/>
              <w:left w:val="single" w:sz="4" w:color="BDC3C7"/>
              <w:right w:val="single" w:sz="4" w:color="BDC3C7"/>
            </w:tcBorders>
          </w:tcPr>
          <w:p>
            <w:r>
              <w:rPr>
                <w:b/>
              </w:rPr>
              <w:t>+55bps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occupancy_other_marketing_delta</w:t>
            </w:r>
          </w:p>
        </w:tc>
        <w:tc>
          <w:tcPr>
            <w:tcW w:type="dxa" w:w="2448"/>
            <w:tcBorders>
              <w:top w:val="single" w:sz="4" w:color="BDC3C7"/>
              <w:bottom w:val="single" w:sz="4" w:color="BDC3C7"/>
              <w:left w:val="single" w:sz="4" w:color="BDC3C7"/>
              <w:right w:val="single" w:sz="4" w:color="BDC3C7"/>
            </w:tcBorders>
          </w:tcPr>
          <w:p>
            <w:r>
              <w:t>+55bps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We back into this line from reported restaurant margins: Q1 adjusted 23.7% against 26.2% (-250bp), and Q2 25.2% against 27.4% (-220bp). After cost of sales and labor, the residual is about 70-100bp, including marketing u</w:t>
            </w:r>
          </w:p>
        </w:tc>
      </w:tr>
    </w:tbl>
    <w:p>
      <w:pPr>
        <w:pStyle w:val="SubHeading"/>
      </w:pPr>
      <w:r>
        <w:t>Bear revisions:</w:t>
      </w:r>
    </w:p>
    <w:p>
      <w:pPr>
        <w:pStyle w:val="ListBullet"/>
      </w:pPr>
      <w:r>
        <w:t>same_store_sales.transactions: 0.39 → -0.3 — If the cyclospora and food-safety overhang that returned on Oct 5 drags into Q4, and the consumer weakens further (sentiment 51.7, saving rate 4.1%), H2 transactions could run -1% to -2%, pulling the FY average below zero.</w:t>
      </w:r>
    </w:p>
    <w:p>
      <w:pPr>
        <w:pStyle w:val="ListBullet"/>
      </w:pPr>
      <w:r>
        <w:t>labor_cost.labor_delta: 52.61 → 80 — Leisure and hospitality wages at +3.9%, continued reinvestment of HEEP hours and performance bonuses against flat transactions would repeat Q1's +70bp deleverage through H2.</w:t>
      </w:r>
    </w:p>
    <w:p>
      <w:pPr>
        <w:pStyle w:val="ListBullet"/>
      </w:pPr>
      <w:r>
        <w:t>food_cost.food_beverage_packaging_delta: 45.4 → 60 — PPI all commodities up 9.9% YoY, plus beef and freight pressure, could keep H2 food inflation in the mid-single digits rather than the guided about 3%, so the price-versus-cost gap would not close in Q4.</w:t>
      </w:r>
    </w:p>
    <w:p>
      <w:pPr>
        <w:pStyle w:val="ListBullet"/>
      </w:pPr>
      <w:r>
        <w:rPr>
          <w:i/>
        </w:rPr>
        <w:t>→ Research: CAVA consensus revenue growth is ~27.6% for 2026 (not 27.5%), but search results confirm CAVA's strong SSS momentum (4.5-6.5% FY2026 guidance) and aggressive unit expansion. Critically, CAVA operates Mediterranean cuisine vs. Chipotle's Mexican; different categories reduce direct menu/geographic overlap. Chipotle faced SSS headwinds (-4% Q2 2025) amid consumer pullback, but attribution to CAVA com (yahoo.com)</w:t>
      </w:r>
    </w:p>
    <w:p>
      <w:pPr>
        <w:pStyle w:val="PullQuote"/>
      </w:pPr>
      <w:r>
        <w:t>Counter: the analyst claims Labor reinvestment and a wage-versus-price gap are the structural cause of margin compression. — but The evidence points elsewhere. Management guided cost of sales to ~30% (vs 28.8% FY24 base) on avocados and dairy, and PPI is +9.9%. The macro wage gap is ~50bp, worth ~12bp of margin. HEEP reaches ~2,000 units by YE26 and specifically targets labor productivity and throughput in FY27. Chipotle is also pricing ~220bp below food-away-from-home CPI by choice. The compression is mostly a commodity…</w:t>
      </w:r>
    </w:p>
    <w:p>
      <w:pPr>
        <w:pStyle w:val="PullQuote"/>
      </w:pPr>
      <w:r>
        <w:t>Counter: the analyst claims Comps settle near 2.5% (edge) and are modeled at ~1.65% (inputs, with 0.39% transactions), and depend on an LTO treadmill. — but On the five-question restaurant comp audit, the pitch answers none: (1) There is no split of comp between LTO/new product and core. (2) There is no trial-versus-repeat evidence for the LTOs the analyst dismisses. (3) It does not address category ownership versus CAVA (+27.5% revenue growth, peers table) or other fast-casual share-takers. (4) It treats management investment in Rewards, marketing,…</w:t>
      </w:r>
    </w:p>
    <w:p>
      <w:pPr>
        <w:pStyle w:val="SectionHeading"/>
      </w:pPr>
      <w:r>
        <w:t>3. Consensus Gap &amp; Valuation</w:t>
      </w:r>
    </w:p>
    <w:p>
      <w:r>
        <w:t>Our EPS: $1.15  =  baseline $1.15  +  Σ claim impacts $+0.00 (0.0% below consensus $1.15)</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$1.15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$1.15</w:t>
            </w:r>
          </w:p>
        </w:tc>
      </w:tr>
    </w:tbl>
    <w:p>
      <w:pPr>
        <w:pStyle w:val="PullQuote"/>
      </w:pPr>
      <w:r>
        <w:t xml:space="preserve">  ⚠ 2 claim(s) target a different fiscal period than the current_fy baseline and weren't summed: consensus_next_fy_revenue, consensus_next_fy_eps</w:t>
      </w:r>
    </w:p>
    <w:p>
      <w:r>
        <w:t>Our estimate is $0.00 (0.0%) below consensus $1.15. Primary driver: food_cost.food_beverage_packaging_delta (ours +50.0 vs street +62.5, contributing $+0.009 to EPS variant, evidence: moderate). Variant appears within market noise -- may already be priced in. Next catalyst: Next quarterly earnings report (2026-10-28 (21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food_cost.food_beverage_packaging_delta</w:t>
            </w:r>
          </w:p>
        </w:tc>
        <w:tc>
          <w:tcPr>
            <w:tcW w:type="dxa" w:w="1958"/>
            <w:tcBorders>
              <w:top w:val="single" w:sz="4" w:color="BDC3C7"/>
              <w:bottom w:val="single" w:sz="4" w:color="BDC3C7"/>
              <w:left w:val="single" w:sz="4" w:color="BDC3C7"/>
              <w:right w:val="single" w:sz="4" w:color="BDC3C7"/>
            </w:tcBorders>
          </w:tcPr>
          <w:p>
            <w:r>
              <w:t>+50.00</w:t>
            </w:r>
          </w:p>
        </w:tc>
        <w:tc>
          <w:tcPr>
            <w:tcW w:type="dxa" w:w="1958"/>
            <w:tcBorders>
              <w:top w:val="single" w:sz="4" w:color="BDC3C7"/>
              <w:bottom w:val="single" w:sz="4" w:color="BDC3C7"/>
              <w:left w:val="single" w:sz="4" w:color="BDC3C7"/>
              <w:right w:val="single" w:sz="4" w:color="BDC3C7"/>
            </w:tcBorders>
          </w:tcPr>
          <w:p>
            <w:r>
              <w:t>+62.50</w:t>
            </w:r>
          </w:p>
        </w:tc>
        <w:tc>
          <w:tcPr>
            <w:tcW w:type="dxa" w:w="1958"/>
            <w:tcBorders>
              <w:top w:val="single" w:sz="4" w:color="BDC3C7"/>
              <w:bottom w:val="single" w:sz="4" w:color="BDC3C7"/>
              <w:left w:val="single" w:sz="4" w:color="BDC3C7"/>
              <w:right w:val="single" w:sz="4" w:color="BDC3C7"/>
            </w:tcBorders>
          </w:tcPr>
          <w:p>
            <w:r>
              <w:t>+0.009</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other_restaurant_costs.occupancy_other_marketing_delta</w:t>
            </w:r>
          </w:p>
        </w:tc>
        <w:tc>
          <w:tcPr>
            <w:tcW w:type="dxa" w:w="1958"/>
            <w:tcBorders>
              <w:top w:val="single" w:sz="4" w:color="BDC3C7"/>
              <w:bottom w:val="single" w:sz="4" w:color="BDC3C7"/>
              <w:left w:val="single" w:sz="4" w:color="BDC3C7"/>
              <w:right w:val="single" w:sz="4" w:color="BDC3C7"/>
            </w:tcBorders>
          </w:tcPr>
          <w:p>
            <w:r>
              <w:t>+55.00</w:t>
            </w:r>
          </w:p>
        </w:tc>
        <w:tc>
          <w:tcPr>
            <w:tcW w:type="dxa" w:w="1958"/>
            <w:tcBorders>
              <w:top w:val="single" w:sz="4" w:color="BDC3C7"/>
              <w:bottom w:val="single" w:sz="4" w:color="BDC3C7"/>
              <w:left w:val="single" w:sz="4" w:color="BDC3C7"/>
              <w:right w:val="single" w:sz="4" w:color="BDC3C7"/>
            </w:tcBorders>
          </w:tcPr>
          <w:p>
            <w:r>
              <w:t>+62.50</w:t>
            </w:r>
          </w:p>
        </w:tc>
        <w:tc>
          <w:tcPr>
            <w:tcW w:type="dxa" w:w="1958"/>
            <w:tcBorders>
              <w:top w:val="single" w:sz="4" w:color="BDC3C7"/>
              <w:bottom w:val="single" w:sz="4" w:color="BDC3C7"/>
              <w:left w:val="single" w:sz="4" w:color="BDC3C7"/>
              <w:right w:val="single" w:sz="4" w:color="BDC3C7"/>
            </w:tcBorders>
          </w:tcPr>
          <w:p>
            <w:r>
              <w:t>+0.005</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new_unit_openings.partner_operated_openings</w:t>
            </w:r>
          </w:p>
        </w:tc>
        <w:tc>
          <w:tcPr>
            <w:tcW w:type="dxa" w:w="1958"/>
            <w:tcBorders>
              <w:top w:val="single" w:sz="4" w:color="BDC3C7"/>
              <w:bottom w:val="single" w:sz="4" w:color="BDC3C7"/>
              <w:left w:val="single" w:sz="4" w:color="BDC3C7"/>
              <w:right w:val="single" w:sz="4" w:color="BDC3C7"/>
            </w:tcBorders>
          </w:tcPr>
          <w:p>
            <w:r>
              <w:t>+7.00</w:t>
            </w:r>
          </w:p>
        </w:tc>
        <w:tc>
          <w:tcPr>
            <w:tcW w:type="dxa" w:w="1958"/>
            <w:tcBorders>
              <w:top w:val="single" w:sz="4" w:color="BDC3C7"/>
              <w:bottom w:val="single" w:sz="4" w:color="BDC3C7"/>
              <w:left w:val="single" w:sz="4" w:color="BDC3C7"/>
              <w:right w:val="single" w:sz="4" w:color="BDC3C7"/>
            </w:tcBorders>
          </w:tcPr>
          <w:p>
            <w:r>
              <w:t>+31.25</w:t>
            </w:r>
          </w:p>
        </w:tc>
        <w:tc>
          <w:tcPr>
            <w:tcW w:type="dxa" w:w="1958"/>
            <w:tcBorders>
              <w:top w:val="single" w:sz="4" w:color="BDC3C7"/>
              <w:bottom w:val="single" w:sz="4" w:color="BDC3C7"/>
              <w:left w:val="single" w:sz="4" w:color="BDC3C7"/>
              <w:right w:val="single" w:sz="4" w:color="BDC3C7"/>
            </w:tcBorders>
          </w:tcPr>
          <w:p>
            <w:r>
              <w:t>+0.005</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new_unit_openings.company_owned_openings</w:t>
            </w:r>
          </w:p>
        </w:tc>
        <w:tc>
          <w:tcPr>
            <w:tcW w:type="dxa" w:w="1958"/>
            <w:tcBorders>
              <w:top w:val="single" w:sz="4" w:color="BDC3C7"/>
              <w:bottom w:val="single" w:sz="4" w:color="BDC3C7"/>
              <w:left w:val="single" w:sz="4" w:color="BDC3C7"/>
              <w:right w:val="single" w:sz="4" w:color="BDC3C7"/>
            </w:tcBorders>
          </w:tcPr>
          <w:p>
            <w:r>
              <w:t>+360.00</w:t>
            </w:r>
          </w:p>
        </w:tc>
        <w:tc>
          <w:tcPr>
            <w:tcW w:type="dxa" w:w="1958"/>
            <w:tcBorders>
              <w:top w:val="single" w:sz="4" w:color="BDC3C7"/>
              <w:bottom w:val="single" w:sz="4" w:color="BDC3C7"/>
              <w:left w:val="single" w:sz="4" w:color="BDC3C7"/>
              <w:right w:val="single" w:sz="4" w:color="BDC3C7"/>
            </w:tcBorders>
          </w:tcPr>
          <w:p>
            <w:r>
              <w:t>+375.00</w:t>
            </w:r>
          </w:p>
        </w:tc>
        <w:tc>
          <w:tcPr>
            <w:tcW w:type="dxa" w:w="1958"/>
            <w:tcBorders>
              <w:top w:val="single" w:sz="4" w:color="BDC3C7"/>
              <w:bottom w:val="single" w:sz="4" w:color="BDC3C7"/>
              <w:left w:val="single" w:sz="4" w:color="BDC3C7"/>
              <w:right w:val="single" w:sz="4" w:color="BDC3C7"/>
            </w:tcBorders>
          </w:tcPr>
          <w:p>
            <w:r>
              <w:t>+0.003</w:t>
            </w:r>
          </w:p>
        </w:tc>
        <w:tc>
          <w:tcPr>
            <w:tcW w:type="dxa" w:w="1958"/>
            <w:tcBorders>
              <w:top w:val="single" w:sz="4" w:color="BDC3C7"/>
              <w:bottom w:val="single" w:sz="4" w:color="BDC3C7"/>
              <w:left w:val="single" w:sz="4" w:color="BDC3C7"/>
              <w:right w:val="single" w:sz="4" w:color="BDC3C7"/>
            </w:tcBorders>
          </w:tcPr>
          <w:p>
            <w:r>
              <w:t>0.70</w:t>
            </w:r>
          </w:p>
        </w:tc>
      </w:tr>
      <w:tr>
        <w:tc>
          <w:tcPr>
            <w:tcW w:type="dxa" w:w="1958"/>
            <w:tcBorders>
              <w:top w:val="single" w:sz="4" w:color="BDC3C7"/>
              <w:bottom w:val="single" w:sz="4" w:color="BDC3C7"/>
              <w:left w:val="single" w:sz="4" w:color="BDC3C7"/>
              <w:right w:val="single" w:sz="4" w:color="BDC3C7"/>
            </w:tcBorders>
          </w:tcPr>
          <w:p>
            <w:r>
              <w:t>labor_cost.labor_delta</w:t>
            </w:r>
          </w:p>
        </w:tc>
        <w:tc>
          <w:tcPr>
            <w:tcW w:type="dxa" w:w="1958"/>
            <w:tcBorders>
              <w:top w:val="single" w:sz="4" w:color="BDC3C7"/>
              <w:bottom w:val="single" w:sz="4" w:color="BDC3C7"/>
              <w:left w:val="single" w:sz="4" w:color="BDC3C7"/>
              <w:right w:val="single" w:sz="4" w:color="BDC3C7"/>
            </w:tcBorders>
          </w:tcPr>
          <w:p>
            <w:r>
              <w:t>+44.19</w:t>
            </w:r>
          </w:p>
        </w:tc>
        <w:tc>
          <w:tcPr>
            <w:tcW w:type="dxa" w:w="1958"/>
            <w:tcBorders>
              <w:top w:val="single" w:sz="4" w:color="BDC3C7"/>
              <w:bottom w:val="single" w:sz="4" w:color="BDC3C7"/>
              <w:left w:val="single" w:sz="4" w:color="BDC3C7"/>
              <w:right w:val="single" w:sz="4" w:color="BDC3C7"/>
            </w:tcBorders>
          </w:tcPr>
          <w:p>
            <w:r>
              <w:t>+46.88</w:t>
            </w:r>
          </w:p>
        </w:tc>
        <w:tc>
          <w:tcPr>
            <w:tcW w:type="dxa" w:w="1958"/>
            <w:tcBorders>
              <w:top w:val="single" w:sz="4" w:color="BDC3C7"/>
              <w:bottom w:val="single" w:sz="4" w:color="BDC3C7"/>
              <w:left w:val="single" w:sz="4" w:color="BDC3C7"/>
              <w:right w:val="single" w:sz="4" w:color="BDC3C7"/>
            </w:tcBorders>
          </w:tcPr>
          <w:p>
            <w:r>
              <w:t>+0.002</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same_store_sales.average_check</w:t>
            </w:r>
          </w:p>
        </w:tc>
        <w:tc>
          <w:tcPr>
            <w:tcW w:type="dxa" w:w="1958"/>
            <w:tcBorders>
              <w:top w:val="single" w:sz="4" w:color="BDC3C7"/>
              <w:bottom w:val="single" w:sz="4" w:color="BDC3C7"/>
              <w:left w:val="single" w:sz="4" w:color="BDC3C7"/>
              <w:right w:val="single" w:sz="4" w:color="BDC3C7"/>
            </w:tcBorders>
          </w:tcPr>
          <w:p>
            <w:r>
              <w:t>+1.50</w:t>
            </w:r>
          </w:p>
        </w:tc>
        <w:tc>
          <w:tcPr>
            <w:tcW w:type="dxa" w:w="1958"/>
            <w:tcBorders>
              <w:top w:val="single" w:sz="4" w:color="BDC3C7"/>
              <w:bottom w:val="single" w:sz="4" w:color="BDC3C7"/>
              <w:left w:val="single" w:sz="4" w:color="BDC3C7"/>
              <w:right w:val="single" w:sz="4" w:color="BDC3C7"/>
            </w:tcBorders>
          </w:tcPr>
          <w:p>
            <w:r>
              <w:t>+1.48</w:t>
            </w:r>
          </w:p>
        </w:tc>
        <w:tc>
          <w:tcPr>
            <w:tcW w:type="dxa" w:w="1958"/>
            <w:tcBorders>
              <w:top w:val="single" w:sz="4" w:color="BDC3C7"/>
              <w:bottom w:val="single" w:sz="4" w:color="BDC3C7"/>
              <w:left w:val="single" w:sz="4" w:color="BDC3C7"/>
              <w:right w:val="single" w:sz="4" w:color="BDC3C7"/>
            </w:tcBorders>
          </w:tcPr>
          <w:p>
            <w:r>
              <w:t>+0.001</w:t>
            </w:r>
          </w:p>
        </w:tc>
        <w:tc>
          <w:tcPr>
            <w:tcW w:type="dxa" w:w="1958"/>
            <w:tcBorders>
              <w:top w:val="single" w:sz="4" w:color="BDC3C7"/>
              <w:bottom w:val="single" w:sz="4" w:color="BDC3C7"/>
              <w:left w:val="single" w:sz="4" w:color="BDC3C7"/>
              <w:right w:val="single" w:sz="4" w:color="BDC3C7"/>
            </w:tcBorders>
          </w:tcPr>
          <w:p>
            <w:r>
              <w:t>0.30</w:t>
            </w:r>
          </w:p>
        </w:tc>
      </w:tr>
      <w:tr>
        <w:tc>
          <w:tcPr>
            <w:tcW w:type="dxa" w:w="1958"/>
            <w:tcBorders>
              <w:top w:val="single" w:sz="4" w:color="BDC3C7"/>
              <w:bottom w:val="single" w:sz="4" w:color="BDC3C7"/>
              <w:left w:val="single" w:sz="4" w:color="BDC3C7"/>
              <w:right w:val="single" w:sz="4" w:color="BDC3C7"/>
            </w:tcBorders>
          </w:tcPr>
          <w:p>
            <w:r>
              <w:t>same_store_sales.transactions</w:t>
            </w:r>
          </w:p>
        </w:tc>
        <w:tc>
          <w:tcPr>
            <w:tcW w:type="dxa" w:w="1958"/>
            <w:tcBorders>
              <w:top w:val="single" w:sz="4" w:color="BDC3C7"/>
              <w:bottom w:val="single" w:sz="4" w:color="BDC3C7"/>
              <w:left w:val="single" w:sz="4" w:color="BDC3C7"/>
              <w:right w:val="single" w:sz="4" w:color="BDC3C7"/>
            </w:tcBorders>
          </w:tcPr>
          <w:p>
            <w:r>
              <w:t>+0.33</w:t>
            </w:r>
          </w:p>
        </w:tc>
        <w:tc>
          <w:tcPr>
            <w:tcW w:type="dxa" w:w="1958"/>
            <w:tcBorders>
              <w:top w:val="single" w:sz="4" w:color="BDC3C7"/>
              <w:bottom w:val="single" w:sz="4" w:color="BDC3C7"/>
              <w:left w:val="single" w:sz="4" w:color="BDC3C7"/>
              <w:right w:val="single" w:sz="4" w:color="BDC3C7"/>
            </w:tcBorders>
          </w:tcPr>
          <w:p>
            <w:r>
              <w:t>+0.31</w:t>
            </w:r>
          </w:p>
        </w:tc>
        <w:tc>
          <w:tcPr>
            <w:tcW w:type="dxa" w:w="1958"/>
            <w:tcBorders>
              <w:top w:val="single" w:sz="4" w:color="BDC3C7"/>
              <w:bottom w:val="single" w:sz="4" w:color="BDC3C7"/>
              <w:left w:val="single" w:sz="4" w:color="BDC3C7"/>
              <w:right w:val="single" w:sz="4" w:color="BDC3C7"/>
            </w:tcBorders>
          </w:tcPr>
          <w:p>
            <w:r>
              <w:t>+0.001</w:t>
            </w:r>
          </w:p>
        </w:tc>
        <w:tc>
          <w:tcPr>
            <w:tcW w:type="dxa" w:w="1958"/>
            <w:tcBorders>
              <w:top w:val="single" w:sz="4" w:color="BDC3C7"/>
              <w:bottom w:val="single" w:sz="4" w:color="BDC3C7"/>
              <w:left w:val="single" w:sz="4" w:color="BDC3C7"/>
              <w:right w:val="single" w:sz="4" w:color="BDC3C7"/>
            </w:tcBorders>
          </w:tcPr>
          <w:p>
            <w:r>
              <w:t>0.20</w:t>
            </w:r>
          </w:p>
        </w:tc>
      </w:tr>
    </w:tbl>
    <w:p>
      <w:r>
        <w:t>Priced in: likely — Variant (+0.0%) within implied move noise (3.5%)</w:t>
      </w:r>
    </w:p>
    <w:p>
      <w:r>
        <w:t>Edge verdict: NO_CLEAR_EDGE (score 0.000).</w:t>
      </w:r>
    </w:p>
    <w:p>
      <w:pPr>
        <w:pStyle w:val="PullQuote"/>
      </w:pPr>
      <w:r>
        <w:t>Counter: the analyst claims A SHORT is the right expression of a modest FY27 EPS gap. — but The trade has negative asymmetry: - The stock is already at 52-week lows. - FY26 consensus of $1.15 equals FY24 actual EPS, so two years of no growth is priced. - Takeover and Starbucks-merger chatter is active (news, Oct 2026). - Buybacks are accelerating at depressed prices. - The Q3 print laps a weak base. - There is no valuation framework or price target to show the 4% estimate gap maps to…</w:t>
      </w:r>
    </w:p>
    <w:p>
      <w:pPr>
        <w:pStyle w:val="SectionHeading"/>
      </w:pPr>
      <w:r>
        <w:t>4. Catalysts</w:t>
      </w:r>
    </w:p>
    <w:p>
      <w:pPr>
        <w:pStyle w:val="ListBullet"/>
      </w:pPr>
      <w:r>
        <w:t>Next quarterly earnings report (2026-10-28 (21 days)) — resolves revenue + margins + guidance; confirms or challenges</w:t>
      </w:r>
    </w:p>
    <w:p>
      <w:pPr>
        <w:pStyle w:val="ListBullet"/>
      </w:pPr>
      <w:r>
        <w:t>Resolution: The margin compression is a temporary food-cost dislocation that ends in Q4 2026 (Resolves at earnings (2026-10-28)) — resolves labor_cost; confirms or challenges</w:t>
      </w:r>
    </w:p>
    <w:p>
      <w:pPr>
        <w:pStyle w:val="ListBullet"/>
      </w:pPr>
      <w:r>
        <w:t>Resolution: HEEP drives hundreds of basis points of comp uplift, setting up mid-single-digit (Resolves over 2-4 quarters) — resolves same_store_sales; confirms or challenges</w:t>
      </w:r>
    </w:p>
    <w:p>
      <w:pPr>
        <w:pStyle w:val="ListBullet"/>
      </w:pPr>
      <w:r>
        <w:t>Resolution: Q3 comps beat the ~+1% guide, as they did in Q1 and Q2. (Resolves over 2-4 quarters) — resolves same_store_sales; confirms or challenges</w:t>
      </w:r>
    </w:p>
    <w:p>
      <w:pPr>
        <w:pStyle w:val="ListBullet"/>
      </w:pPr>
      <w:r>
        <w:t>Share of 2026 transaction growth coming from LTOs (Honey Chicken, Chicken al Pastor, cilantro lime s (Unknown timing) — resolves multiple; resolves uncertainty</w:t>
      </w:r>
    </w:p>
    <w:p>
      <w:pPr>
        <w:pStyle w:val="ListBullet"/>
      </w:pPr>
      <w:r>
        <w:t>Quantified, audited comp and throughput lift in HEEP-equipped stores against a matched control group (Unknown timing) — resolves multiple; resolves uncertainty</w:t>
      </w:r>
    </w:p>
    <w:p>
      <w:pPr>
        <w:pStyle w:val="SectionHeading"/>
      </w:pPr>
      <w:r>
        <w:t>5. Risks, Blind Spots &amp; Kill Criteria</w:t>
      </w:r>
    </w:p>
    <w:p>
      <w:pPr>
        <w:pStyle w:val="SubHeading"/>
      </w:pPr>
      <w:r>
        <w:t>Top risks:</w:t>
      </w:r>
    </w:p>
    <w:p>
      <w:pPr>
        <w:pStyle w:val="ListBullet"/>
      </w:pPr>
      <w:r>
        <w:t>The margin compression is a temporary food-cost dislocation that ends in Q4 2026, after which margins recover with about 40% flow-through. — counter: Q2 restaurant margin fell 220bp, but cost of sales explained only 80bp. Labor rose on wage inflation, bonuses and added hours, and HEEP savings are explicitly reinvested. The CEO's 40% flow-through claim is refuted by YoY margin declines of -140bp, -250bp and -220bp over three quarters of 5-9% revenue growth. [serious]</w:t>
      </w:r>
    </w:p>
    <w:p>
      <w:pPr>
        <w:pStyle w:val="ListBullet2"/>
      </w:pPr>
      <w:r>
        <w:rPr>
          <w:i/>
        </w:rPr>
        <w:t>→ Research confirms: SEC filings and official earnings releases confirm Q1 2026 operating margin of 12.9% (down from 16.7%, -380bp) and Q2 2026 operating margin of 15.7% (down from 18.2%, -250bp). Revenue growth of 7.4% in Q1 and 9.3% in Q2 aligns with the 5-9% YoY range stated. (sec.gov)</w:t>
      </w:r>
    </w:p>
    <w:p>
      <w:pPr>
        <w:pStyle w:val="ListBullet"/>
      </w:pPr>
      <w:r>
        <w:t>HEEP drives hundreds of basis points of comp uplift, setting up mid-single-digit comps in 2027. — counter: HEEP was in more than 1,000 stores in Q2, yet the system transaction comp was only 1.0%. Management has repeatedly declined to quantify throughput ('I can't get into specifics at present'). It redirected the Q2 question about 2027 momentum to a food-safety statement, and stopped citing new-unit productivity and returns after Q3 2025. [serious]</w:t>
      </w:r>
    </w:p>
    <w:p>
      <w:pPr>
        <w:pStyle w:val="ListBullet2"/>
      </w:pPr>
      <w:r>
        <w:rPr>
          <w:i/>
        </w:rPr>
        <w:t>→ Research: Management quantifies HEEP comp uplift at 200-400bp in equipped restaurants, but no independent third-party or franchisee validation found. Claim originates from Chipotle's own earnings guidance and investor presentations. (qz.com)</w:t>
      </w:r>
    </w:p>
    <w:p>
      <w:pPr>
        <w:pStyle w:val="ListBullet"/>
      </w:pPr>
      <w:r>
        <w:t>FY2026 is roughly in line at ~$1.14 adjusted, and margin compression is structural, not a temporary gap that closes in Q4 2026. — counter: These two claims cannot both hold. Per quarterly_fin, H1 2026 GAAP EPS was $0.55 ($0.23 + $0.32) versus $0.60 in H1 2025, about -8%. H2 2025 was $0.54 ($0.29 + $0.25). Reaching $1.14 requires H2 2026 of roughly $0.57-0.59 (allowing for Q2 adjusted at $0.33 per press), which is +6-9% YoY. That needs operating income to stop falling. Q2 2026 operating income fell 6% YoY ($526M vs $559M) while EPS was flat. If the 220-250bp compression persists through H2, as the structural thesis says, a Q2-like run rate gives H2 of about $0.54 and FY26 of about $1.09-1.11. The analyst's FY26 number quietly assumes the bull's 'gap closes in H2' scenario. [serious]</w:t>
      </w:r>
    </w:p>
    <w:p>
      <w:pPr>
        <w:pStyle w:val="SubHeading"/>
      </w:pPr>
      <w:r>
        <w:t>Blind spots (auditor-independent):</w:t>
      </w:r>
    </w:p>
    <w:p>
      <w:pPr>
        <w:pStyle w:val="ListBullet"/>
      </w:pPr>
      <w:r>
        <w:t>M&amp;A optionality. Per news (10/1 and 10/6/2026), CMG shares rose on takeover rumors and on Chipotle-Starbucks merger speculation. A short sized on a 4% FY27 EPS gap is exposed to a binary corporate event that makes the EPS debate irrelevant.</w:t>
      </w:r>
    </w:p>
    <w:p>
      <w:pPr>
        <w:pStyle w:val="ListBullet"/>
      </w:pPr>
      <w:r>
        <w:t>Buyback math. Share shrink of ~5-7% YoY (implied by flat EPS on falling net income in Q2) is the largest single swing factor in FY27 EPS, and repurchases are cheaper near 52-week lows. The thesis never models it.</w:t>
      </w:r>
    </w:p>
    <w:p>
      <w:pPr>
        <w:pStyle w:val="ListBullet"/>
      </w:pPr>
      <w:r>
        <w:t>HEEP equipment rollout. It moves from ~350 to ~2,000 restaurants during 2026 (transcript) and is a direct counter to the labor-reinvestment narrative.</w:t>
      </w:r>
    </w:p>
    <w:p>
      <w:pPr>
        <w:pStyle w:val="KillCriteria"/>
      </w:pPr>
      <w:r>
        <w:t>What would change our mind: Print on food_cost.food_beverage_packaging_delta comes in above our +50.0 figure (toward street +62.5) in the next 1-2 prints.</w:t>
      </w:r>
    </w:p>
    <w:p>
      <w:pPr>
        <w:pStyle w:val="SectionHeading"/>
      </w:pPr>
      <w:r>
        <w:t>Appendix</w:t>
      </w:r>
    </w:p>
    <w:p>
      <w:pPr>
        <w:pStyle w:val="SubHeading"/>
      </w:pPr>
      <w:r>
        <w:t>Evidence gaps (research TODO):</w:t>
      </w:r>
    </w:p>
    <w:p>
      <w:pPr>
        <w:pStyle w:val="ListBullet"/>
      </w:pPr>
      <w:r>
        <w:t>Share of 2026 transaction growth coming from LTOs (Honey Chicken, Chicken al Pastor, cilantro lime sauce) versus core menu traffic.</w:t>
      </w:r>
    </w:p>
    <w:p>
      <w:pPr>
        <w:pStyle w:val="ListBullet"/>
      </w:pPr>
      <w:r>
        <w:t>Quantified, audited comp and throughput lift in HEEP-equipped stores against a matched control group.</w:t>
      </w:r>
    </w:p>
    <w:p>
      <w:pPr>
        <w:pStyle w:val="ListBullet"/>
      </w:pPr>
      <w:r>
        <w:t>Current North America new-restaurant productivity and year-two cash-on-cash returns, unreported since Q3 2025; the Q1 2026 '40% return on investment in year two' fragment is ambiguous.</w:t>
      </w:r>
    </w:p>
    <w:p>
      <w:pPr>
        <w:pStyle w:val="ListBullet"/>
      </w:pPr>
      <w:r>
        <w:t>The Q3 2026 restaurant-margin and adjusted G&amp;A guidance referenced in the non-GAAP disclaimer; the actual figures are not in the corpus.</w:t>
      </w:r>
    </w:p>
    <w:p>
      <w:pPr>
        <w:pStyle w:val="ListBullet"/>
      </w:pPr>
      <w:r>
        <w:t>Cash and investment balances, needed to judge how long $600-750M quarterly buybacks can exceed free cash flow and how fast interest income falls.</w:t>
      </w:r>
    </w:p>
    <w:p>
      <w:pPr>
        <w:pStyle w:val="ListBullet"/>
      </w:pPr>
      <w:r>
        <w:t>Whether the Q4 2025 $27M gift card breakage true-up recurs in Q4 2026, and at what size.</w:t>
      </w:r>
    </w:p>
    <w:p>
      <w:pPr>
        <w:pStyle w:val="ListBullet"/>
      </w:pPr>
      <w:r>
        <w:t>Q2 2025 and Q1 2025 individual comps, which would firm up two-year stack math (H1 2025 is inferred at about -2.3% average).</w:t>
      </w:r>
    </w:p>
    <w:p>
      <w:pPr>
        <w:pStyle w:val="ListBullet"/>
      </w:pPr>
      <w:r>
        <w:t>Exposure and duration of the cyclospora and salmonella issues, including any traceback findings.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