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CMG — CMG</w:t>
      </w:r>
    </w:p>
    <w:p>
      <w:pPr>
        <w:pStyle w:val="SmallMeta"/>
      </w:pPr>
      <w:r>
        <w:t>As of 2026-10-07  |  Schema: restaurant  |  Data: alpha_vantage (FY2025)</w:t>
      </w:r>
    </w:p>
    <w:p>
      <w:pPr>
        <w:pStyle w:val="SubHeading"/>
      </w:pPr>
      <w:r>
        <w:rPr>
          <w:color w:val="8C1D40"/>
        </w:rPr>
        <w:t>Direction: SHORT | Current: $30.77</w:t>
      </w:r>
    </w:p>
    <w:p>
      <w:pPr>
        <w:pStyle w:val="SubHeading"/>
      </w:pPr>
      <w:r>
        <w:t>Summary</w:t>
      </w:r>
    </w:p>
    <w:p>
      <w:pPr>
        <w:pStyle w:val="ListBullet"/>
      </w:pPr>
      <w:r>
        <w:t>Thesis: FY2026 is in line: our adjusted EPS is $1.14 against $1.15 consensus. The Street's FY2027 $1.37 (+19%) quietly underwrites three things at once: roughly 3.7% comp, about 60bp of operating margin recovery, and buyback accretion at the 2025 to 2026 pace. We see each as modestly too high and put FY2027 at about $1.32. That is a real but small expectation gap, partly offset by a valuation that already sits near a multiple CMG rarely trades at.</w:t>
      </w:r>
    </w:p>
    <w:p>
      <w:pPr>
        <w:pStyle w:val="ListBullet"/>
      </w:pPr>
      <w:r>
        <w:t>Next catalyst: Next quarterly earnings report (2026-10-28 (21 days))</w:t>
      </w:r>
    </w:p>
    <w:p>
      <w:pPr>
        <w:pStyle w:val="ListBullet"/>
      </w:pPr>
      <w:r>
        <w:t>Top risk: Restaurant margins recover toward 27% to 28% as the price and inflation dislocation closes.</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$0.29</w:t>
            </w:r>
          </w:p>
        </w:tc>
        <w:tc>
          <w:tcPr>
            <w:tcW w:type="dxa" w:w="1399"/>
            <w:tcBorders>
              <w:top w:val="single" w:sz="4" w:color="BDC3C7"/>
              <w:bottom w:val="single" w:sz="4" w:color="BDC3C7"/>
              <w:left w:val="single" w:sz="4" w:color="BDC3C7"/>
              <w:right w:val="single" w:sz="4" w:color="BDC3C7"/>
            </w:tcBorders>
          </w:tcPr>
          <w:p>
            <w:r>
              <w:t>$0.28 – $0.30</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+0.2%</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$0.28</w:t>
            </w:r>
          </w:p>
        </w:tc>
        <w:tc>
          <w:tcPr>
            <w:tcW w:type="dxa" w:w="1399"/>
            <w:tcBorders>
              <w:top w:val="single" w:sz="4" w:color="BDC3C7"/>
              <w:bottom w:val="single" w:sz="4" w:color="BDC3C7"/>
              <w:left w:val="single" w:sz="4" w:color="BDC3C7"/>
              <w:right w:val="single" w:sz="4" w:color="BDC3C7"/>
            </w:tcBorders>
          </w:tcPr>
          <w:p>
            <w:r>
              <w:t>$0.26 – $0.31</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+13.5%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$1.15</w:t>
            </w:r>
          </w:p>
        </w:tc>
        <w:tc>
          <w:tcPr>
            <w:tcW w:type="dxa" w:w="1399"/>
            <w:tcBorders>
              <w:top w:val="single" w:sz="4" w:color="BDC3C7"/>
              <w:bottom w:val="single" w:sz="4" w:color="BDC3C7"/>
              <w:left w:val="single" w:sz="4" w:color="BDC3C7"/>
              <w:right w:val="single" w:sz="4" w:color="BDC3C7"/>
            </w:tcBorders>
          </w:tcPr>
          <w:p>
            <w:r>
              <w:t>$1.11 – $1.22</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$1.37</w:t>
            </w:r>
          </w:p>
        </w:tc>
        <w:tc>
          <w:tcPr>
            <w:tcW w:type="dxa" w:w="1399"/>
            <w:tcBorders>
              <w:top w:val="single" w:sz="4" w:color="BDC3C7"/>
              <w:bottom w:val="single" w:sz="4" w:color="BDC3C7"/>
              <w:left w:val="single" w:sz="4" w:color="BDC3C7"/>
              <w:right w:val="single" w:sz="4" w:color="BDC3C7"/>
            </w:tcBorders>
          </w:tcPr>
          <w:p>
            <w:r>
              <w:t>$1.27 – $1.45</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+19.0%</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↑5 / ↓0</w:t>
            </w:r>
          </w:p>
        </w:tc>
      </w:tr>
    </w:tbl>
    <w:p>
      <w:r>
        <w:t>Revenue consensus: Q $3.28B (+9.2%)  |  Q+1 $3.31B (+10.9%)  |  FY $13.03B (+9.2%)  |  FY+1 $14.44B (+10.9%)</w:t>
      </w:r>
    </w:p>
    <w:p>
      <w:r>
        <w:t>Price targets: Mean $43.76  |  Median $44.00  |  Range $35.00–$53.00  |  Current $30.71 (+42.5% to mean)</w:t>
      </w:r>
    </w:p>
    <w:p>
      <w:r>
        <w:t>Analyst ratings (n=35): Strong Buy 4 · Buy 20 · Hold 11 · Sell 0 · Strong Sell 0  ·  69% bullish</w:t>
      </w:r>
    </w:p>
    <w:p>
      <w:r>
        <w:t>Next earnings: 2026-10-28 (21d out)  ·  EPS $0.29 ($0.28–$0.30)  ·  Rev $3.28B</w:t>
      </w:r>
    </w:p>
    <w:p>
      <w:pPr>
        <w:pStyle w:val="SectionHeading"/>
      </w:pPr>
      <w:r>
        <w:t>1. Research Synthesis</w:t>
      </w:r>
    </w:p>
    <w:p>
      <w:r>
        <w:t>Start with the numbers and a reconciliation the structured data forces on us. The FY2025 block shows diluted EPS of $1.09 on net income of $1,535.8M, with 1,265.4M diluted shares. Those three figures do not tie. $1,535.8M divided by 1,265.4M is $1.21, and the four reported GAAP quarters (Q1 $0.28, Q2 $0.32, Q3 $0.29, Q4 $0.25) sum to $1.14. The 1,265.4M figure is a recent point-in-time count consistent with Q2 2026: adjusted net income of $418.9M divided by $0.33 is about 1,269M shares. It is not the FY2025 weighted average, which was closer to 1,350M or more. Management's adjusted FY2025 EPS was $1.17, and consensus FY2026 of $1.15 shows YoY -1.7%, which only works against $1.17. So the Street is on an adjusted basis, and so are we. The structured gross margin of 25.4% is essentially restaurant-level margin; our quarterly average of 26.2%, 27.4%, 24.5% and 23.4% is about 25.4%. There is no GAAP versus non-GAAP gross margin gap to reconcile. The operating margin of 16.9% is after G&amp;A, D&amp;A, pre-opening and impairment.</w:t>
      </w:r>
    </w:p>
    <w:p>
      <w:r>
        <w:t>The core diligence question is whether the comp turn is real. Reported comps run -0.4% (Q1 2025), -4.0% (Q2 2025, inferred from +3.0% revenue growth less about 7 points of new-unit contribution), +0.3%, -2.5%, then +0.5% and +2.2% in 2026. On a two-year basis, Q1 2026 stacked to about +0.1 and Q2 2026 to about -1.8. The Q2 headline was flattered by the softest compare of the cycle. Decomposed, Q2's 2.2% was 1.6 points of price, 1.0 of transactions and about -0.4 of mix. Q1 was about 0.9 price, +0.6 transactions and -1.0 mix. Traffic plus mix has contributed roughly zero this year; the comp is mostly price. For Q3, CFO Rymer guided 'somewhere around a plus 1%' with price in the 'mid-2% range'. He explicitly embedded the roughly 200bp late-July cyclospora softness for the whole quarter, so the guide implies traffic plus mix of about -1.5. Management has beaten near-term guides 11 of 11 times: Q1 by about 2 points (guided -1 to -2, printed +0.5) and Q2 by about 1.2 points (guided about +1, printed 2.2). Applying a 0.5 to 1.5 point beat gives a Q3 comp of 1.5% to 2.5%. Consensus Q3 revenue of $3,280M equals 3,003 x (1 + about 0.072 unit contribution + about 0.02 comp), so the Street already embeds the beat pattern. Our $3,264M is inside the $3,248M to $3,311M range. There is no Q3 revenue edge, and we say so.</w:t>
      </w:r>
    </w:p>
    <w:p>
      <w:pPr>
        <w:pStyle w:val="PullQuote"/>
      </w:pPr>
      <w:r>
        <w:t>Counter: the analyst claims The Street is 'modestly' too high on three levers, summing to a ~$0.05 FY2027 gap. — but The driver inputs and the EPS output are internally inconsistent. A 1.79% comp (vs 3.7% consensus) plus ~150bp of combined cost inflation implies FY2027 EPS near flat-to-low-single-digit growth, not +16% to $1.32. Either the analyst is far more bearish than they claim, in which case the edge is understated and unsupported, or the cost inputs mean something unstated and the comp haircut is doing…</w:t>
      </w:r>
    </w:p>
    <w:p>
      <w:pPr>
        <w:pStyle w:val="ListBullet"/>
      </w:pPr>
      <w:r>
        <w:rPr>
          <w:i/>
        </w:rPr>
        <w:t>→ Research confirms: CFO Rymer guided Q3 comps to approximately +1% with pricing in the mid-2% range, explicitly embedding a roughly 200bp cyclospora drag from late July that he assumed would persist through Q3. (yahoo.com)</w:t>
      </w:r>
    </w:p>
    <w:p>
      <w:r>
        <w:t>The gap is FY2027. Consensus revenue of $14,443M is +10.9% on consensus FY2026. New units have added about 7.0 to 7.2 points of growth per quarter (Q1: 7.4% revenue less 0.5% comp; Q2: 9.3% less 2.2%), so the Street implies a FY2027 comp of about 3.7%. If price runs about 3%, matching inflation as management now promises 'from Q4 forward', that still requires traffic plus mix to swing from about zero in 2026 to roughly +0.7 or more. That would come against a year in which 2026's growth was bought with four standalone LTOs, a Rewards relaunch and marketing at 3% to 3.5% of sales (up 50 to 90bp). On the pitch-discipline questions: we cannot size how much of the 2026 comp came from new product versus core. Management's claim that protein LTOs add 'a few hundred basis points of transaction' is unverified. Honey Chicken is a repeat LTO and double-protein incidence sustained through April, so some is repeat behavior. Chipotle owns the fast-casual Mexican category, though a JPMorgan analyst flagged chicken and bowl competition. 2027 must lap that LTO cadence with equal news. Macro data cut both ways. Real disposable income is +6.0% YoY, but Michigan sentiment is 51.7 (-11.2% YoY), the saving rate has fallen to 4.1%, and food-away-from-home CPI (+3.4%) is running above food-at-home (+2.2%), which favors grocery. The guidance track record is decisive here. Long-dated demand guides are where management misses, and the CEO's Q3 2025 promise of 'mid-single-digit comp growth' in 2026 has already been cut to 'low single-digit'. We use a 2.5% FY2027 comp and about $14.25B revenue. FY2026 sums to $0.23 + $0.32 + $0.28 + $0.285, or about $1.12, on $12.99B revenue — roughly $0.03 below consensus $1.15 and $13,028M, a gap that is modest but not immaterial for an estimate-revision call.</w:t>
      </w:r>
    </w:p>
    <w:p>
      <w:pPr>
        <w:pStyle w:val="ListBullet"/>
      </w:pPr>
      <w:r>
        <w:rPr>
          <w:i/>
        </w:rPr>
        <w:t>→ Research [CONTRADICTS]: CEO Boatwright never promised mid-single-digit comp growth for 2026 in Q3 2025. In Q3 2025 (Oct 29), he guided to low-single-digit declines for full-year 2025. Prior Feb 2026 guidance was flat-to-low-single-digit growth for 2026, later raised to low-single-digit growth in July 2026. (chipotle.com)</w:t>
      </w:r>
    </w:p>
    <w:p>
      <w:pPr>
        <w:pStyle w:val="ListBullet"/>
      </w:pPr>
      <w:r>
        <w:rPr>
          <w:i/>
        </w:rPr>
        <w:t>→ Research confirms: Management explicitly states protein LTOs generate 'a few hundred basis points of transaction lift' during promotions. CFO Rymer disclosed this in Q1 2026 and Q2 2026 earnings calls. However, no granular cohort-level data (by customer segment, geography, or repeat purchase behavior) has been disclosed to substantiate the 2027 comp lap risk. (restaurantdive.com)</w:t>
      </w:r>
    </w:p>
    <w:p>
      <w:r>
        <w:t>The gap is FY2027. Consensus revenue of $14,443M is +10.9% on consensus FY2026. New units have added about 7.0 to 7.2 points of growth per quarter (Q1: 7.4% revenue less 0.5% comp; Q2: 9.3% less 2.2%), so the Street implies a FY2027 comp of about 3.7%. If price runs about 3%, matching inflation as management now promises 'from Q4 forward', that still requires traffic plus mix to swing from about zero in 2026 to roughly +0.7 or more. That would come against a year in which 2026's growth was bought with four standalone LTOs, a Rewards relaunch and marketing at 3% to 3.5% of sales (up 50 to 90bp). On the pitch-discipline questions: we cannot size how much of the 2026 comp came from new product versus core. Management's claim that protein LTOs add 'a few hundred basis points of transaction' is unverified. Honey Chicken is a repeat LTO and double-protein incidence sustained through April, so some is repeat behavior. Chipotle owns the fast-casual Mexican category, though a JPMorgan analyst flagged chicken and bowl competition. 2027 must lap that LTO cadence with equal news. Macro data cut both ways. Real disposable income is +6.0% YoY, but Michigan sentiment is 51.7 (-11.2% YoY), the saving rate has fallen to 4.1%, and food-away-from-home CPI (+3.4%) is running above food-at-home (+2.2%), which favors grocery. The guidance track record is decisive here. Long-dated demand guides are where management misses, and the CEO's Q3 2025 promise of 'mid-single-digit comp growth' in 2026 has already been cut to 'low single-digit'. We use a 2.5% FY2027 comp and about $14.25B revenue.</w:t>
      </w:r>
    </w:p>
    <w:p>
      <w:r>
        <w:t>Margins are the second leg. To hit $1.37 on about 1,211M average shares with a 24% tax rate and minimal interest income, the Street needs roughly $2.16B of operating income, a 14.9% margin, versus about 14.3% adjusted in FY2026. That is about 60bp of recovery. Management's own statements against interest cap it. Labor savings from HEEP are 'reinvesting the two to three hours of efficiency back into our restaurants'. Q2 labor rose partly from 'labor execution in restaurants as we lean into the guest experience'. And price will now only 'match' inflation, which stops the 150bp dislocation from widening but does not recapture it. The 27% to 28% restaurant-margin aspiration is category (e), conditional on $4M AUVs, a metric the company does not report. Meanwhile adjusted G&amp;A grew 10.2% in Q2 ($176.2M vs $159.9M). Recipe for Growth restructuring charges recur ($2.1M in Q1, $3.3M in Q2). Pre-opening and impairment rose to 0.5% and 0.4% of revenue. Remodel tests run $100K to $300K per restaurant, and a national catering launch is slated for 2027. A 2.5% comp yields maybe 30bp of operating leverage, not 60bp.</w:t>
      </w:r>
    </w:p>
    <w:p>
      <w:pPr>
        <w:pStyle w:val="ListBullet"/>
      </w:pPr>
      <w:r>
        <w:rPr>
          <w:i/>
        </w:rPr>
        <w:t>→ Research confirms: Chipotle's Q2 2026 adjusted G&amp;A was $176.2M vs $159.9M in Q2 2025, representing 10.2% growth. This figure excludes restructuring, legal proceedings, and stock-based compensation retention adjustments from GAAP G&amp;A of $190.5M. (chipotle.com)</w:t>
      </w:r>
    </w:p>
    <w:p>
      <w:r>
        <w:t>The third leg is capital return, and it needs careful reading. Chipotle repurchased $2.4B in 2025 and $1.33B in H1 2026, at falling average prices of $42.39 (Q3 2025), $34.14 (Q4 2025) and $32.55 (Q2 2026). Buying harder into a falling price is a confidence signal, not a growth-skepticism signal, and we credit it. But the pace is roughly double free cash flow. Operating income of $2.0B plus D&amp;A of $0.36B, less tax and an estimated $0.7B capex (capex is not disclosed in the corpus), leaves about $1.3B to $1.5B. The tell is the interest line. FY2025 net interest income was $73.7M, about $18M a quarter. Backing pre-tax income out of Q2 2026's reported 12.1% net margin and 15.7% operating margin leaves only about $7M to $16M of non-operating income. That is a rough inference, but directionally the cash pile has shrunk. Unless management adds debt, FY2027 buybacks drift toward $1.5B to $1.6B, retiring about 48M shares at $33 rather than about 80M at the H1 2026 run rate. That shaves roughly 1 point of EPS accretion relative to any model plugging recent dollar pace. Ownership is otherwise unremarkable. The 4.2% Pershing Square 13D in the ownership table dates to 2020, and 13F flow shows Pershing fully exited ($844M) in Q4 2025, alongside Viking ($260M). Third Point entered with $175M, 2.4% of its book. Short interest is only 4% of float, so there is no squeeze or crowded-short setup. The only insider sale is the controller selling $0.1M, which is immaterial. The October 1 to 6 Starbucks merger rumors are unaddressed by management, and we treat them as noise, not a valuation floor.</w:t>
      </w:r>
    </w:p>
    <w:p>
      <w:pPr>
        <w:pStyle w:val="ListBullet"/>
      </w:pPr>
      <w:r>
        <w:rPr>
          <w:i/>
        </w:rPr>
        <w:t>→ Research confirms: SEC filings and official earnings releases directly confirm all three average buyback prices: Q3 2025 at $42.39, Q4 2025 at $34.14, and Q2 2026 at $32.55. The falling price trajectory is accurate. (sec.gov)</w:t>
      </w:r>
    </w:p>
    <w:p>
      <w:pPr>
        <w:pStyle w:val="ListBullet"/>
      </w:pPr>
      <w:r>
        <w:rPr>
          <w:i/>
        </w:rPr>
        <w:t>→ Research: Multiple executives sold shares in 2026 at depressed prices ($35.29–$40.01), including CEO Boatwright ($1.1M, Aug 22) and President Garner ($2.4M, Feb 6). However, all material 2026 sales were tax-withholding transactions tied to RSU vesting, not discretionary open-market sales. Insiders sold $7.2M over 12 months with zero buying activity, contradicting confidence implied by aggressive buybacks. (gurufocus.com)</w:t>
      </w:r>
    </w:p>
    <w:p>
      <w:r>
        <w:t>The strongest bear case against our view is actually a bull case. Price now matches inflation, and HEEP reaches about 2,000 restaurants by year-end with management citing a peak 15-minute uplift of '2 to 3 entrees' and 'hundreds of basis points' of comp. Europe is comping high single digits, and Q4 2025's -2.5% leaves an easy compare. On that view a 4% comp with 40% flow-through in 2027 is plausible, and the Q3 guide of +1% hides an underlying comp near 3% on a compare 430bp harder than Q2's, a genuine two-year acceleration. If Q3 prints a comp of 2.5% or better, Q3 restaurant margin declines 100bp or less YoY, and management gives an initial FY2027 comp guide of low-to-mid single digits with positive Q4 transactions, we would move to consensus. What confirms our view: a Q3 comp at or below 1.5% with negative transactions, October trends disclosed as soft on the food-safety headlines, and a Q3 10-Q showing cash and investments well below $1B.</w:t>
      </w:r>
    </w:p>
    <w:p>
      <w:r>
        <w:t>The mispricing read is mixed, and we take a side. The stock at $30.90 trades at about 27x our FY2026 and 23.4x our FY2027 EPS. That is in line with Texas Roadhouse at 24.7x and far below CAVA at 95x. For CMG this is a multiple it rarely offers; that is our historical judgment, not corpus data. The October 5 drop of 4% to 6% was partly mechanical: the headline read 'selling outruns the restaurant group', with McDonald's and Starbucks also down. It was partly fundamental, as food-safety headlines returned ahead of results after an August salmonella lawsuit and the July cyclospora issue. So the price already discounts more than our roughly 4% FY2027 EPS gap. Our call is that the Street's FY2027 number is too high and will be trimmed toward $1.30 to $1.33 when management guides 2027 in early February 2027. The near-term test is the Q3 print in late October 2026, where we expect in-line EPS around $0.28 to $0.29, a modest comp beat and soft Q4 commentary. This is an estimate-revision call, not a short. The next leg of earnings depends on traffic, not price, and traffic has been flat.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$0.29</w:t>
            </w:r>
          </w:p>
        </w:tc>
        <w:tc>
          <w:tcPr>
            <w:tcW w:type="dxa" w:w="3264"/>
            <w:tcBorders>
              <w:top w:val="single" w:sz="4" w:color="BDC3C7"/>
              <w:bottom w:val="single" w:sz="4" w:color="BDC3C7"/>
              <w:left w:val="single" w:sz="4" w:color="BDC3C7"/>
              <w:right w:val="single" w:sz="4" w:color="BDC3C7"/>
            </w:tcBorders>
          </w:tcPr>
          <w:p>
            <w:r>
              <w:t>$3,280M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$0.28</w:t>
            </w:r>
          </w:p>
        </w:tc>
        <w:tc>
          <w:tcPr>
            <w:tcW w:type="dxa" w:w="3264"/>
            <w:tcBorders>
              <w:top w:val="single" w:sz="4" w:color="BDC3C7"/>
              <w:bottom w:val="single" w:sz="4" w:color="BDC3C7"/>
              <w:left w:val="single" w:sz="4" w:color="BDC3C7"/>
              <w:right w:val="single" w:sz="4" w:color="BDC3C7"/>
            </w:tcBorders>
          </w:tcPr>
          <w:p>
            <w:r>
              <w:t>$3,307M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$1.15</w:t>
            </w:r>
          </w:p>
        </w:tc>
        <w:tc>
          <w:tcPr>
            <w:tcW w:type="dxa" w:w="3264"/>
            <w:tcBorders>
              <w:top w:val="single" w:sz="4" w:color="BDC3C7"/>
              <w:bottom w:val="single" w:sz="4" w:color="BDC3C7"/>
              <w:left w:val="single" w:sz="4" w:color="BDC3C7"/>
              <w:right w:val="single" w:sz="4" w:color="BDC3C7"/>
            </w:tcBorders>
          </w:tcPr>
          <w:p>
            <w:r>
              <w:t>$13,028M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$1.37</w:t>
            </w:r>
          </w:p>
        </w:tc>
        <w:tc>
          <w:tcPr>
            <w:tcW w:type="dxa" w:w="3264"/>
            <w:tcBorders>
              <w:top w:val="single" w:sz="4" w:color="BDC3C7"/>
              <w:bottom w:val="single" w:sz="4" w:color="BDC3C7"/>
              <w:left w:val="single" w:sz="4" w:color="BDC3C7"/>
              <w:right w:val="single" w:sz="4" w:color="BDC3C7"/>
            </w:tcBorders>
          </w:tcPr>
          <w:p>
            <w:r>
              <w:t>$14,443M</w:t>
            </w:r>
          </w:p>
        </w:tc>
      </w:tr>
    </w:tbl>
    <w:p>
      <w:pPr>
        <w:pStyle w:val="SubHeading"/>
      </w:pPr>
      <w:r>
        <w:t>Management guidance:</w:t>
      </w:r>
    </w:p>
    <w:p>
      <w:pPr>
        <w:pStyle w:val="ListBullet"/>
      </w:pPr>
      <w:r>
        <w:t>Same-Store Sales (FY2026): we now expect full year comp sales growth in the low single-digit range  — Q2 2026, call, CFO</w:t>
      </w:r>
    </w:p>
    <w:p>
      <w:pPr>
        <w:pStyle w:val="ListBullet"/>
      </w:pPr>
      <w:r>
        <w:t>Other Pricing Impact (Q3 2026): we anticipate it will increase to the mid-2% range in Q3  — Q2 2026, call, CFO</w:t>
      </w:r>
    </w:p>
    <w:p>
      <w:pPr>
        <w:pStyle w:val="ListBullet"/>
      </w:pPr>
      <w:r>
        <w:t>Other Pricing Impact (FY2026): we expect to land near the high end of the 1% to 2% range we communicated earlier this year  — Q2 2026, call, CFO</w:t>
      </w:r>
    </w:p>
    <w:p>
      <w:pPr>
        <w:pStyle w:val="ListBullet"/>
      </w:pPr>
      <w:r>
        <w:t>Units Heep Equipped Restaurants (FY2026): The equipment is now installed in more than 1,000 restaurants.  — Q2 2026, call, CEO</w:t>
      </w:r>
    </w:p>
    <w:p>
      <w:pPr>
        <w:pStyle w:val="ListBullet"/>
      </w:pPr>
      <w:r>
        <w:t>Units (long-term): builds even greater confidence in our ability to operate at least 7,000 restaurants across the region  — Q2 2026, call, CFO</w:t>
      </w:r>
    </w:p>
    <w:p>
      <w:pPr>
        <w:pStyle w:val="ListBullet"/>
      </w:pPr>
      <w:r>
        <w:t>Revenue (FY2026): full-year cost-of-sales inflation of around 4%  — Q1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$14.4B</w:t>
            </w:r>
          </w:p>
        </w:tc>
        <w:tc>
          <w:tcPr>
            <w:tcW w:type="dxa" w:w="1632"/>
            <w:tcBorders>
              <w:top w:val="single" w:sz="4" w:color="BDC3C7"/>
              <w:bottom w:val="single" w:sz="4" w:color="BDC3C7"/>
              <w:left w:val="single" w:sz="4" w:color="BDC3C7"/>
              <w:right w:val="single" w:sz="4" w:color="BDC3C7"/>
            </w:tcBorders>
          </w:tcPr>
          <w:p>
            <w:r>
              <w:t>$14.2B</w:t>
            </w:r>
          </w:p>
        </w:tc>
        <w:tc>
          <w:tcPr>
            <w:tcW w:type="dxa" w:w="1632"/>
            <w:tcBorders>
              <w:top w:val="single" w:sz="4" w:color="BDC3C7"/>
              <w:bottom w:val="single" w:sz="4" w:color="BDC3C7"/>
              <w:left w:val="single" w:sz="4" w:color="BDC3C7"/>
              <w:right w:val="single" w:sz="4" w:color="BDC3C7"/>
            </w:tcBorders>
          </w:tcPr>
          <w:p>
            <w:r>
              <w:t>-0.02</w:t>
            </w:r>
          </w:p>
        </w:tc>
        <w:tc>
          <w:tcPr>
            <w:tcW w:type="dxa" w:w="1632"/>
            <w:tcBorders>
              <w:top w:val="single" w:sz="4" w:color="BDC3C7"/>
              <w:bottom w:val="single" w:sz="4" w:color="BDC3C7"/>
              <w:left w:val="single" w:sz="4" w:color="BDC3C7"/>
              <w:right w:val="single" w:sz="4" w:color="BDC3C7"/>
            </w:tcBorders>
          </w:tcPr>
          <w:p>
            <w:r>
              <w:t>cross_corpus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$1.37</w:t>
            </w:r>
          </w:p>
        </w:tc>
        <w:tc>
          <w:tcPr>
            <w:tcW w:type="dxa" w:w="1632"/>
            <w:tcBorders>
              <w:top w:val="single" w:sz="4" w:color="BDC3C7"/>
              <w:bottom w:val="single" w:sz="4" w:color="BDC3C7"/>
              <w:left w:val="single" w:sz="4" w:color="BDC3C7"/>
              <w:right w:val="single" w:sz="4" w:color="BDC3C7"/>
            </w:tcBorders>
          </w:tcPr>
          <w:p>
            <w:r>
              <w:t>$1.32</w:t>
            </w:r>
          </w:p>
        </w:tc>
        <w:tc>
          <w:tcPr>
            <w:tcW w:type="dxa" w:w="1632"/>
            <w:tcBorders>
              <w:top w:val="single" w:sz="4" w:color="BDC3C7"/>
              <w:bottom w:val="single" w:sz="4" w:color="BDC3C7"/>
              <w:left w:val="single" w:sz="4" w:color="BDC3C7"/>
              <w:right w:val="single" w:sz="4" w:color="BDC3C7"/>
            </w:tcBorders>
          </w:tcPr>
          <w:p>
            <w:r>
              <w:t>-0.03</w:t>
            </w:r>
          </w:p>
        </w:tc>
        <w:tc>
          <w:tcPr>
            <w:tcW w:type="dxa" w:w="1632"/>
            <w:tcBorders>
              <w:top w:val="single" w:sz="4" w:color="BDC3C7"/>
              <w:bottom w:val="single" w:sz="4" w:color="BDC3C7"/>
              <w:left w:val="single" w:sz="4" w:color="BDC3C7"/>
              <w:right w:val="single" w:sz="4" w:color="BDC3C7"/>
            </w:tcBorders>
          </w:tcPr>
          <w:p>
            <w:r>
              <w:t>cross_corpus</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$1.37</w:t>
            </w:r>
          </w:p>
        </w:tc>
        <w:tc>
          <w:tcPr>
            <w:tcW w:type="dxa" w:w="1632"/>
            <w:tcBorders>
              <w:top w:val="single" w:sz="4" w:color="BDC3C7"/>
              <w:bottom w:val="single" w:sz="4" w:color="BDC3C7"/>
              <w:left w:val="single" w:sz="4" w:color="BDC3C7"/>
              <w:right w:val="single" w:sz="4" w:color="BDC3C7"/>
            </w:tcBorders>
          </w:tcPr>
          <w:p>
            <w:r>
              <w:t>$1.32</w:t>
            </w:r>
          </w:p>
        </w:tc>
        <w:tc>
          <w:tcPr>
            <w:tcW w:type="dxa" w:w="1632"/>
            <w:tcBorders>
              <w:top w:val="single" w:sz="4" w:color="BDC3C7"/>
              <w:bottom w:val="single" w:sz="4" w:color="BDC3C7"/>
              <w:left w:val="single" w:sz="4" w:color="BDC3C7"/>
              <w:right w:val="single" w:sz="4" w:color="BDC3C7"/>
            </w:tcBorders>
          </w:tcPr>
          <w:p>
            <w:r>
              <w:t>-0.01</w:t>
            </w:r>
          </w:p>
        </w:tc>
        <w:tc>
          <w:tcPr>
            <w:tcW w:type="dxa" w:w="1632"/>
            <w:tcBorders>
              <w:top w:val="single" w:sz="4" w:color="BDC3C7"/>
              <w:bottom w:val="single" w:sz="4" w:color="BDC3C7"/>
              <w:left w:val="single" w:sz="4" w:color="BDC3C7"/>
              <w:right w:val="single" w:sz="4" w:color="BDC3C7"/>
            </w:tcBorders>
          </w:tcPr>
          <w:p>
            <w:r>
              <w:t>cross_corpus</w:t>
            </w:r>
          </w:p>
        </w:tc>
      </w:tr>
    </w:tbl>
    <w:p>
      <w:pPr>
        <w:pStyle w:val="SubHeading"/>
      </w:pPr>
      <w:r>
        <w:t>Claim 1 — consensus_next_fy_revenue</w:t>
      </w:r>
    </w:p>
    <w:p>
      <w:r>
        <w:t>Consensus +10.9% FY2027 revenue growth, less the roughly 7.0 to 7.2 points that new units have added each quarter in 2026, implies about a 3.7% comp. Traffic plus mix contributed roughly zero in 2026 (Q1 about -0.4, Q2 about +0.6, Q3 guide about -1.5), so with about 3% price we see a 2.5% comp and $14.25B.</w:t>
      </w:r>
    </w:p>
    <w:p>
      <w:r>
        <w:t>Street anchor: $14.4B (yfinance consensus (Next FY, 34 analysts)) → Our view: $14.2B</w:t>
      </w:r>
    </w:p>
    <w:p>
      <w:pPr>
        <w:pStyle w:val="PullQuote"/>
      </w:pPr>
      <w:r>
        <w:t>“sales grew 9.3% to $3.3 billion, driven by a comparable restaurant sales increase of 2.2%, including a transaction comp of 1%”  (transcript)</w:t>
      </w:r>
    </w:p>
    <w:p>
      <w:pPr>
        <w:pStyle w:val="PullQuote"/>
      </w:pPr>
      <w:r>
        <w:t>“we anticipate our comps will be somewhere around a plus 1% in Q3”  (transcript)</w:t>
      </w:r>
    </w:p>
    <w:p>
      <w:pPr>
        <w:pStyle w:val="PullQuote"/>
      </w:pPr>
      <w:r>
        <w:t>“comparable / same-store sales growth FY2025 guided 2 to 5, actual -1.7 (-5.2pp)”  (filing)</w:t>
      </w:r>
    </w:p>
    <w:p>
      <w:r>
        <w:t>Why not consensus: Sell-side builds FY2027 off the Q4 2026 exit rate, which is inflated by the -2.5% Q4 2025 compare, and off the CEO's mid-single-digit aspiration. Most models do not split comp into price and traffic, so they miss that 2026 comp has been nearly all price and that 2027 must lap four LTOs.</w:t>
      </w:r>
    </w:p>
    <w:p>
      <w:pPr>
        <w:pStyle w:val="KillCriteria"/>
      </w:pPr>
      <w:r>
        <w:t>Falsifier: Q3 2026 comp of 2.5% or better with positive transactions, and an initial FY2027 comp guide at the Q4 print (early Feb 2027) of low-to-mid single digits or higher.</w:t>
      </w:r>
    </w:p>
    <w:p>
      <w:pPr>
        <w:pStyle w:val="SubHeading"/>
      </w:pPr>
      <w:r>
        <w:t>Claim 2 — consensus_next_fy_eps</w:t>
      </w:r>
    </w:p>
    <w:p>
      <w:r>
        <w:t>On about 1,211M average shares and a 24% tax rate, $1.37 requires about a 14.9% adjusted operating margin, roughly 60bp of recovery from about 14.3% in FY2026. Management's statements against interest (labor savings reinvested, price only matching inflation, hospitality labor investment) plus rising G&amp;A, pre-opening and remodel spend support only about 30bp at a 2.5% comp.</w:t>
      </w:r>
    </w:p>
    <w:p>
      <w:r>
        <w:t>Street anchor: $1.37 (yfinance consensus (Next FY, 34 analysts, range $1.27 to $1.45)) → Our view: $1.32</w:t>
      </w:r>
    </w:p>
    <w:p>
      <w:pPr>
        <w:pStyle w:val="PullQuote"/>
      </w:pPr>
      <w:r>
        <w:t>“For now, we are reinvesting the two to three hours of efficiency back into our restaurants to deliver greater hospitality.”  (transcript)</w:t>
      </w:r>
    </w:p>
    <w:p>
      <w:pPr>
        <w:pStyle w:val="PullQuote"/>
      </w:pPr>
      <w:r>
        <w:t>“from Q4 forward, we expect those 2 to match and that -- therefore, that dislocation will not be there on a go-forward basis.”  (transcript)</w:t>
      </w:r>
    </w:p>
    <w:p>
      <w:pPr>
        <w:pStyle w:val="PullQuote"/>
      </w:pPr>
      <w:r>
        <w:t>“Adjusted general and administrative expenses $ 176,200 $ 159,938”  (deck)</w:t>
      </w:r>
    </w:p>
    <w:p>
      <w:r>
        <w:t>Why not consensus: Analysts read 'dislocation is temporary' as margin recapture. Management's wording only commits to price matching inflation, which stops the bleed but does not reverse it. The reinvestment admissions sit in Q&amp;A and prepared-remark asides that single-quarter models do not carry into 2027 margins. FY2027 revisions were 5 up and 0 down, all before the October 5 food-safety headlines.</w:t>
      </w:r>
    </w:p>
    <w:p>
      <w:pPr>
        <w:pStyle w:val="KillCriteria"/>
      </w:pPr>
      <w:r>
        <w:t>Falsifier: Q3 2026 restaurant-level margin down 100bp or less YoY, and Q4 commentary or the FY2027 outlook pointing to restaurant margin expansion of 75bp or more.</w:t>
      </w:r>
    </w:p>
    <w:p>
      <w:pPr>
        <w:pStyle w:val="ListBullet2"/>
      </w:pPr>
      <w:r>
        <w:rPr>
          <w:i/>
        </w:rPr>
        <w:t>→ Research confirms: Management directly confirms HEEP labor savings are reinvested into restaurants rather than harvested for margin. Q2 2026 earnings call states: 'we're reinvesting the labor efficiency back into our restaurants' to strengthen hospitality and peak-period deployment. Labor costs rose 30bp in Q2 partly due to 'labor execution in restaurants as we lean into the guest experience.' (yahoo.com)</w:t>
      </w:r>
    </w:p>
    <w:p>
      <w:pPr>
        <w:pStyle w:val="SubHeading"/>
      </w:pPr>
      <w:r>
        <w:t>Claim 3 — consensus_next_fy_eps</w:t>
      </w:r>
    </w:p>
    <w:p>
      <w:r>
        <w:t>Buybacks of $2.4B in 2025 and $1.33B in H1 2026 run at roughly 2x estimated free cash flow. Non-operating income backed out of Q2 2026 appears roughly half of the FY2025 run rate of $73.7M a year. Without new debt, FY2027 repurchases likely fall toward $1.5B to $1.6B, cutting about 1 point of EPS accretion versus a run-rate plug.</w:t>
      </w:r>
    </w:p>
    <w:p>
      <w:r>
        <w:t>Street anchor: $1.37 (yfinance consensus (Next FY)) → Our view: $1.32</w:t>
      </w:r>
    </w:p>
    <w:p>
      <w:pPr>
        <w:pStyle w:val="PullQuote"/>
      </w:pPr>
      <w:r>
        <w:t>“During the fourth quarter, we purchased $742 million of our stock at an average price of $34.14, bringing our full year 2025 total to a record $2.4 billion”  (transcript)</w:t>
      </w:r>
    </w:p>
    <w:p>
      <w:pPr>
        <w:pStyle w:val="PullQuote"/>
      </w:pPr>
      <w:r>
        <w:t>“including $631 million in the second quarter at an average price of $32.55”  (transcript)</w:t>
      </w:r>
    </w:p>
    <w:p>
      <w:pPr>
        <w:pStyle w:val="PullQuote"/>
      </w:pPr>
      <w:r>
        <w:t>“Net Interest Income: $73.7M”  (filing)</w:t>
      </w:r>
    </w:p>
    <w:p>
      <w:r>
        <w:t>Why not consensus: Buybacks are usually modeled as a dollar plug off recent quarters rather than reconciled to FCF and the remaining cash pile. The cash balance and capex are not in the earnings materials, and the shrinking interest line is a few million dollars that nobody isolates.</w:t>
      </w:r>
    </w:p>
    <w:p>
      <w:pPr>
        <w:pStyle w:val="KillCriteria"/>
      </w:pPr>
      <w:r>
        <w:t>Falsifier: Q3 2026 10-Q shows cash plus investments above $1.5B, or the company announces a debt-funded repurchase program, or Q3 repurchases of $600M or more with flat cash.</w:t>
      </w:r>
    </w:p>
    <w:p>
      <w:r>
        <w:t>Management tone shift in Q3 2025→Q4 2025: overall business performance framing: upgrade — Management pivoted from admitting a miss to reframing the full year positively, signaling a delibera</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same_store_sales</w:t>
            </w:r>
          </w:p>
        </w:tc>
        <w:tc>
          <w:tcPr>
            <w:tcW w:type="dxa" w:w="2448"/>
            <w:tcBorders>
              <w:top w:val="single" w:sz="4" w:color="BDC3C7"/>
              <w:bottom w:val="single" w:sz="4" w:color="BDC3C7"/>
              <w:left w:val="single" w:sz="4" w:color="BDC3C7"/>
              <w:right w:val="single" w:sz="4" w:color="BDC3C7"/>
            </w:tcBorders>
          </w:tcPr>
          <w:p>
            <w:r>
              <w:rPr>
                <w:b/>
              </w:rPr>
              <w:t>+2.23%</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menu_price</w:t>
            </w:r>
          </w:p>
        </w:tc>
        <w:tc>
          <w:tcPr>
            <w:tcW w:type="dxa" w:w="2448"/>
            <w:tcBorders>
              <w:top w:val="single" w:sz="4" w:color="BDC3C7"/>
              <w:bottom w:val="single" w:sz="4" w:color="BDC3C7"/>
              <w:left w:val="single" w:sz="4" w:color="BDC3C7"/>
              <w:right w:val="single" w:sz="4" w:color="BDC3C7"/>
            </w:tcBorders>
          </w:tcPr>
          <w:p>
            <w:r>
              <w:t>+2.50%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 xml:space="preserve">In the Q2 2026 call, CFO Adam Rymer said Q2 pricing was 'around 1.6%', would rise to the 'mid-2% range in Q3', and that the full year would land 'near the high end of the 1% to 2% range'. Q1 ran 'just under 1%'. Solving </w:t>
            </w:r>
          </w:p>
        </w:tc>
      </w:tr>
      <w:tr>
        <w:tc>
          <w:tcPr>
            <w:tcW w:type="dxa" w:w="2448"/>
            <w:tcBorders>
              <w:top w:val="single" w:sz="4" w:color="BDC3C7"/>
              <w:bottom w:val="single" w:sz="4" w:color="BDC3C7"/>
              <w:left w:val="single" w:sz="4" w:color="BDC3C7"/>
              <w:right w:val="single" w:sz="4" w:color="BDC3C7"/>
            </w:tcBorders>
          </w:tcPr>
          <w:p>
            <w:r>
              <w:t xml:space="preserve">    transactions</w:t>
            </w:r>
          </w:p>
        </w:tc>
        <w:tc>
          <w:tcPr>
            <w:tcW w:type="dxa" w:w="2448"/>
            <w:tcBorders>
              <w:top w:val="single" w:sz="4" w:color="BDC3C7"/>
              <w:bottom w:val="single" w:sz="4" w:color="BDC3C7"/>
              <w:left w:val="single" w:sz="4" w:color="BDC3C7"/>
              <w:right w:val="single" w:sz="4" w:color="BDC3C7"/>
            </w:tcBorders>
          </w:tcPr>
          <w:p>
            <w:r>
              <w:t>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Transactions were +0.6% in Q1 and +1.0% in Q2 per the CFO. The Q3 guide of about +1% comp with mid-2% price implies traffic plus mix near -1.5%, including about 200bp of cyclospora softness. Q4 laps a -2.5% comp and shou</w:t>
            </w:r>
          </w:p>
        </w:tc>
      </w:tr>
      <w:tr>
        <w:tc>
          <w:tcPr>
            <w:tcW w:type="dxa" w:w="2448"/>
            <w:tcBorders>
              <w:top w:val="single" w:sz="4" w:color="BDC3C7"/>
              <w:bottom w:val="single" w:sz="4" w:color="BDC3C7"/>
              <w:left w:val="single" w:sz="4" w:color="BDC3C7"/>
              <w:right w:val="single" w:sz="4" w:color="BDC3C7"/>
            </w:tcBorders>
          </w:tcPr>
          <w:p>
            <w:r>
              <w:t xml:space="preserve">    mix</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 xml:space="preserve">In the Q1 2026 call the CFO said mix was 'a drag of about 100 basis points', driven by lower group size versus COVID-era highs. In Q2, check of +1.2% against price of 1.6% implies about -0.4 mix. We assume about -0.5 in </w:t>
            </w:r>
          </w:p>
        </w:tc>
      </w:tr>
      <w:tr>
        <w:tc>
          <w:tcPr>
            <w:tcW w:type="dxa" w:w="2448"/>
            <w:tcBorders>
              <w:top w:val="single" w:sz="4" w:color="BDC3C7"/>
              <w:bottom w:val="single" w:sz="4" w:color="BDC3C7"/>
              <w:left w:val="single" w:sz="4" w:color="BDC3C7"/>
              <w:right w:val="single" w:sz="4" w:color="BDC3C7"/>
            </w:tcBorders>
          </w:tcPr>
          <w:p>
            <w:r>
              <w:rPr>
                <w:b/>
              </w:rPr>
              <w:t>unit_openings</w:t>
            </w:r>
          </w:p>
        </w:tc>
        <w:tc>
          <w:tcPr>
            <w:tcW w:type="dxa" w:w="2448"/>
            <w:tcBorders>
              <w:top w:val="single" w:sz="4" w:color="BDC3C7"/>
              <w:bottom w:val="single" w:sz="4" w:color="BDC3C7"/>
              <w:left w:val="single" w:sz="4" w:color="BDC3C7"/>
              <w:right w:val="single" w:sz="4" w:color="BDC3C7"/>
            </w:tcBorders>
          </w:tcPr>
          <w:p>
            <w:r>
              <w:rPr>
                <w:b/>
              </w:rPr>
              <w:t>350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total_openings</w:t>
            </w:r>
          </w:p>
        </w:tc>
        <w:tc>
          <w:tcPr>
            <w:tcW w:type="dxa" w:w="2448"/>
            <w:tcBorders>
              <w:top w:val="single" w:sz="4" w:color="BDC3C7"/>
              <w:bottom w:val="single" w:sz="4" w:color="BDC3C7"/>
              <w:left w:val="single" w:sz="4" w:color="BDC3C7"/>
              <w:right w:val="single" w:sz="4" w:color="BDC3C7"/>
            </w:tcBorders>
          </w:tcPr>
          <w:p>
            <w:r>
              <w:t>350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The July 29, 2026 press release guides 350 to 370 openings. Management has met or beaten the openings midpoint in each of the last 3 years (FY2025: 345 versus a 315 to 345 guide), giving a bias-adjusted 364.5. H1 deliver</w:t>
            </w:r>
          </w:p>
        </w:tc>
      </w:tr>
      <w:tr>
        <w:tc>
          <w:tcPr>
            <w:tcW w:type="dxa" w:w="2448"/>
            <w:tcBorders>
              <w:top w:val="single" w:sz="4" w:color="BDC3C7"/>
              <w:bottom w:val="single" w:sz="4" w:color="BDC3C7"/>
              <w:left w:val="single" w:sz="4" w:color="BDC3C7"/>
              <w:right w:val="single" w:sz="4" w:color="BDC3C7"/>
            </w:tcBorders>
          </w:tcPr>
          <w:p>
            <w:r>
              <w:rPr>
                <w:b/>
              </w:rPr>
              <w:t>food_beverage_packaging</w:t>
            </w:r>
          </w:p>
        </w:tc>
        <w:tc>
          <w:tcPr>
            <w:tcW w:type="dxa" w:w="2448"/>
            <w:tcBorders>
              <w:top w:val="single" w:sz="4" w:color="BDC3C7"/>
              <w:bottom w:val="single" w:sz="4" w:color="BDC3C7"/>
              <w:left w:val="single" w:sz="4" w:color="BDC3C7"/>
              <w:right w:val="single" w:sz="4" w:color="BDC3C7"/>
            </w:tcBorders>
          </w:tcPr>
          <w:p>
            <w:r>
              <w:rPr>
                <w:b/>
              </w:rPr>
              <w:t>+55bps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food_cost_change</w:t>
            </w:r>
          </w:p>
        </w:tc>
        <w:tc>
          <w:tcPr>
            <w:tcW w:type="dxa" w:w="2448"/>
            <w:tcBorders>
              <w:top w:val="single" w:sz="4" w:color="BDC3C7"/>
              <w:bottom w:val="single" w:sz="4" w:color="BDC3C7"/>
              <w:left w:val="single" w:sz="4" w:color="BDC3C7"/>
              <w:right w:val="single" w:sz="4" w:color="BDC3C7"/>
            </w:tcBorders>
          </w:tcPr>
          <w:p>
            <w:r>
              <w:t>+55bps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The Q2 2026 press release reported food, beverage and packaging at 29.7% of revenue versus 28.9%, up 80bp, driven by beef, freight and higher protein and produce usage. The Q1 call guided full-year cost-of-sales inflatio</w:t>
            </w:r>
          </w:p>
        </w:tc>
      </w:tr>
      <w:tr>
        <w:tc>
          <w:tcPr>
            <w:tcW w:type="dxa" w:w="2448"/>
            <w:tcBorders>
              <w:top w:val="single" w:sz="4" w:color="BDC3C7"/>
              <w:bottom w:val="single" w:sz="4" w:color="BDC3C7"/>
              <w:left w:val="single" w:sz="4" w:color="BDC3C7"/>
              <w:right w:val="single" w:sz="4" w:color="BDC3C7"/>
            </w:tcBorders>
          </w:tcPr>
          <w:p>
            <w:r>
              <w:rPr>
                <w:b/>
              </w:rPr>
              <w:t>labor</w:t>
            </w:r>
          </w:p>
        </w:tc>
        <w:tc>
          <w:tcPr>
            <w:tcW w:type="dxa" w:w="2448"/>
            <w:tcBorders>
              <w:top w:val="single" w:sz="4" w:color="BDC3C7"/>
              <w:bottom w:val="single" w:sz="4" w:color="BDC3C7"/>
              <w:left w:val="single" w:sz="4" w:color="BDC3C7"/>
              <w:right w:val="single" w:sz="4" w:color="BDC3C7"/>
            </w:tcBorders>
          </w:tcPr>
          <w:p>
            <w:r>
              <w:rPr>
                <w:b/>
              </w:rPr>
              <w:t>+42bps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labor_cost_change</w:t>
            </w:r>
          </w:p>
        </w:tc>
        <w:tc>
          <w:tcPr>
            <w:tcW w:type="dxa" w:w="2448"/>
            <w:tcBorders>
              <w:top w:val="single" w:sz="4" w:color="BDC3C7"/>
              <w:bottom w:val="single" w:sz="4" w:color="BDC3C7"/>
              <w:left w:val="single" w:sz="4" w:color="BDC3C7"/>
              <w:right w:val="single" w:sz="4" w:color="BDC3C7"/>
            </w:tcBorders>
          </w:tcPr>
          <w:p>
            <w:r>
              <w:t>+42bps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The Q1 2026 reconciliation shows adjusted labor at 25.7% versus 25.0%, up 70bp. In Q2 the CFO said labor rose on 'wage inflation and performance bonuses in addition to labor execution in restaurants as we lean into the g</w:t>
            </w:r>
          </w:p>
        </w:tc>
      </w:tr>
      <w:tr>
        <w:tc>
          <w:tcPr>
            <w:tcW w:type="dxa" w:w="2448"/>
            <w:tcBorders>
              <w:top w:val="single" w:sz="4" w:color="BDC3C7"/>
              <w:bottom w:val="single" w:sz="4" w:color="BDC3C7"/>
              <w:left w:val="single" w:sz="4" w:color="BDC3C7"/>
              <w:right w:val="single" w:sz="4" w:color="BDC3C7"/>
            </w:tcBorders>
          </w:tcPr>
          <w:p>
            <w:r>
              <w:rPr>
                <w:b/>
              </w:rPr>
              <w:t>occupancy_and_other</w:t>
            </w:r>
          </w:p>
        </w:tc>
        <w:tc>
          <w:tcPr>
            <w:tcW w:type="dxa" w:w="2448"/>
            <w:tcBorders>
              <w:top w:val="single" w:sz="4" w:color="BDC3C7"/>
              <w:bottom w:val="single" w:sz="4" w:color="BDC3C7"/>
              <w:left w:val="single" w:sz="4" w:color="BDC3C7"/>
              <w:right w:val="single" w:sz="4" w:color="BDC3C7"/>
            </w:tcBorders>
          </w:tcPr>
          <w:p>
            <w:r>
              <w:rPr>
                <w:b/>
              </w:rPr>
              <w:t>+45bps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other_cost_change</w:t>
            </w:r>
          </w:p>
        </w:tc>
        <w:tc>
          <w:tcPr>
            <w:tcW w:type="dxa" w:w="2448"/>
            <w:tcBorders>
              <w:top w:val="single" w:sz="4" w:color="BDC3C7"/>
              <w:bottom w:val="single" w:sz="4" w:color="BDC3C7"/>
              <w:left w:val="single" w:sz="4" w:color="BDC3C7"/>
              <w:right w:val="single" w:sz="4" w:color="BDC3C7"/>
            </w:tcBorders>
          </w:tcPr>
          <w:p>
            <w:r>
              <w:t>+45bps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Marketing rose to 3% of sales in Q3 2025 (+90bp) and 3.5% in Q4 2025 (+50bp). Management increased 2026 spend to fully support four standalone LTOs. Occupancy deleverages on a low comp. The residual between our estimated</w:t>
            </w:r>
          </w:p>
        </w:tc>
      </w:tr>
    </w:tbl>
    <w:p>
      <w:pPr>
        <w:pStyle w:val="SubHeading"/>
      </w:pPr>
      <w:r>
        <w:t>Bear revisions:</w:t>
      </w:r>
    </w:p>
    <w:p>
      <w:pPr>
        <w:pStyle w:val="ListBullet"/>
      </w:pPr>
      <w:r>
        <w:t>same_store_sales.transactions: 0.39 → -0.3 — October food-safety headlines extend the cyclospora drag into Q4, so the Q4 comp lands near price only (about 1.5%) and full-year transactions turn slightly negative.</w:t>
      </w:r>
    </w:p>
    <w:p>
      <w:pPr>
        <w:pStyle w:val="ListBullet"/>
      </w:pPr>
      <w:r>
        <w:t>same_store_sales.menu_price: 2.0 → 1.8 — Management delays the Q4 price step to protect value perception amid food-safety noise, landing mid-range rather than at the high end of the 1% to 2% guide.</w:t>
      </w:r>
    </w:p>
    <w:p>
      <w:pPr>
        <w:pStyle w:val="ListBullet"/>
      </w:pPr>
      <w:r>
        <w:t>labor.labor_cost_change: 50 → 70 — Hospitality labor investment, mystery-shopper accountability and reinvested HEEP hours persist while the comp stays low, repeating Q1's +70bp for the full year.</w:t>
      </w:r>
    </w:p>
    <w:p>
      <w:pPr>
        <w:pStyle w:val="ListBullet"/>
      </w:pPr>
      <w:r>
        <w:t>unit_openings.total_openings: 362 → 350 — Middle East partner delays and a slower H2 pipeline push openings to the low end of the 350 to 370 guide.</w:t>
      </w:r>
    </w:p>
    <w:p>
      <w:pPr>
        <w:pStyle w:val="ListBullet"/>
      </w:pPr>
      <w:r>
        <w:rPr>
          <w:i/>
        </w:rPr>
        <w:t>→ Research: Chipotle disclosed specific incremental sales impact for 2025 Summer of Extras ($12M+ on 6.4M activations) and Q1 2026 loyalty penetration (32% of sales, +300bps YoY), but 2026 relaunch incremental contribution remains unquantified. Scale quantified: 23M members post-relaunch, but transaction-level lift unspecified. (chipotle.com)</w:t>
      </w:r>
    </w:p>
    <w:p>
      <w:pPr>
        <w:pStyle w:val="PullQuote"/>
      </w:pPr>
      <w:r>
        <w:t>Counter: the analyst claims The 2026 transaction recovery is LTO/marketing-funded and will fade toward +0.4%. — but The analyst failed four of the five comp-decomposition questions:</w:t>
      </w:r>
    </w:p>
    <w:p>
      <w:pPr>
        <w:pStyle w:val="SectionHeading"/>
      </w:pPr>
      <w:r>
        <w:t>3. Consensus Gap &amp; Valuation</w:t>
      </w:r>
    </w:p>
    <w:p>
      <w:r>
        <w:t>Our EPS: $1.15  =  baseline $1.15  +  Σ claim impacts $+0.00 (0.0% below consensus $1.15)</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$1.15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$1.15</w:t>
            </w:r>
          </w:p>
        </w:tc>
      </w:tr>
    </w:tbl>
    <w:p>
      <w:pPr>
        <w:pStyle w:val="PullQuote"/>
      </w:pPr>
      <w:r>
        <w:t xml:space="preserve">  ⚠ 3 claim(s) target a different fiscal period than the current_fy baseline and weren't summed: consensus_next_fy_revenue, consensus_next_fy_eps, consensus_next_fy_eps</w:t>
      </w:r>
    </w:p>
    <w:p>
      <w:r>
        <w:t>Our estimate is $0.00 (0.0%) below consensus $1.15. Primary driver: same_store_sales.menu_price (ours +2.5 vs street +2.3, contributing $+0.007 to EPS variant, evidence: strong). Variant appears within market noise -- may already be priced in. Next catalyst: Next quarterly earnings report (2026-10-28 (21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same_store_sales.menu_price</w:t>
            </w:r>
          </w:p>
        </w:tc>
        <w:tc>
          <w:tcPr>
            <w:tcW w:type="dxa" w:w="1958"/>
            <w:tcBorders>
              <w:top w:val="single" w:sz="4" w:color="BDC3C7"/>
              <w:bottom w:val="single" w:sz="4" w:color="BDC3C7"/>
              <w:left w:val="single" w:sz="4" w:color="BDC3C7"/>
              <w:right w:val="single" w:sz="4" w:color="BDC3C7"/>
            </w:tcBorders>
          </w:tcPr>
          <w:p>
            <w:r>
              <w:t>+2.50</w:t>
            </w:r>
          </w:p>
        </w:tc>
        <w:tc>
          <w:tcPr>
            <w:tcW w:type="dxa" w:w="1958"/>
            <w:tcBorders>
              <w:top w:val="single" w:sz="4" w:color="BDC3C7"/>
              <w:bottom w:val="single" w:sz="4" w:color="BDC3C7"/>
              <w:left w:val="single" w:sz="4" w:color="BDC3C7"/>
              <w:right w:val="single" w:sz="4" w:color="BDC3C7"/>
            </w:tcBorders>
          </w:tcPr>
          <w:p>
            <w:r>
              <w:t>+2.27</w:t>
            </w:r>
          </w:p>
        </w:tc>
        <w:tc>
          <w:tcPr>
            <w:tcW w:type="dxa" w:w="1958"/>
            <w:tcBorders>
              <w:top w:val="single" w:sz="4" w:color="BDC3C7"/>
              <w:bottom w:val="single" w:sz="4" w:color="BDC3C7"/>
              <w:left w:val="single" w:sz="4" w:color="BDC3C7"/>
              <w:right w:val="single" w:sz="4" w:color="BDC3C7"/>
            </w:tcBorders>
          </w:tcPr>
          <w:p>
            <w:r>
              <w:t>+0.007</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food_beverage_packaging.food_cost_change</w:t>
            </w:r>
          </w:p>
        </w:tc>
        <w:tc>
          <w:tcPr>
            <w:tcW w:type="dxa" w:w="1958"/>
            <w:tcBorders>
              <w:top w:val="single" w:sz="4" w:color="BDC3C7"/>
              <w:bottom w:val="single" w:sz="4" w:color="BDC3C7"/>
              <w:left w:val="single" w:sz="4" w:color="BDC3C7"/>
              <w:right w:val="single" w:sz="4" w:color="BDC3C7"/>
            </w:tcBorders>
          </w:tcPr>
          <w:p>
            <w:r>
              <w:t>+55.00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unit_openings.total_openings</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+375.00</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labor.labor_cost_change</w:t>
            </w:r>
          </w:p>
        </w:tc>
        <w:tc>
          <w:tcPr>
            <w:tcW w:type="dxa" w:w="1958"/>
            <w:tcBorders>
              <w:top w:val="single" w:sz="4" w:color="BDC3C7"/>
              <w:bottom w:val="single" w:sz="4" w:color="BDC3C7"/>
              <w:left w:val="single" w:sz="4" w:color="BDC3C7"/>
              <w:right w:val="single" w:sz="4" w:color="BDC3C7"/>
            </w:tcBorders>
          </w:tcPr>
          <w:p>
            <w:r>
              <w:t>+42.00</w:t>
            </w:r>
          </w:p>
        </w:tc>
        <w:tc>
          <w:tcPr>
            <w:tcW w:type="dxa" w:w="1958"/>
            <w:tcBorders>
              <w:top w:val="single" w:sz="4" w:color="BDC3C7"/>
              <w:bottom w:val="single" w:sz="4" w:color="BDC3C7"/>
              <w:left w:val="single" w:sz="4" w:color="BDC3C7"/>
              <w:right w:val="single" w:sz="4" w:color="BDC3C7"/>
            </w:tcBorders>
          </w:tcPr>
          <w:p>
            <w:r>
              <w:t>+46.88</w:t>
            </w:r>
          </w:p>
        </w:tc>
        <w:tc>
          <w:tcPr>
            <w:tcW w:type="dxa" w:w="1958"/>
            <w:tcBorders>
              <w:top w:val="single" w:sz="4" w:color="BDC3C7"/>
              <w:bottom w:val="single" w:sz="4" w:color="BDC3C7"/>
              <w:left w:val="single" w:sz="4" w:color="BDC3C7"/>
              <w:right w:val="single" w:sz="4" w:color="BDC3C7"/>
            </w:tcBorders>
          </w:tcPr>
          <w:p>
            <w:r>
              <w:t>+0.003</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same_store_sales.mix</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t>-0.66</w:t>
            </w:r>
          </w:p>
        </w:tc>
        <w:tc>
          <w:tcPr>
            <w:tcW w:type="dxa" w:w="1958"/>
            <w:tcBorders>
              <w:top w:val="single" w:sz="4" w:color="BDC3C7"/>
              <w:bottom w:val="single" w:sz="4" w:color="BDC3C7"/>
              <w:left w:val="single" w:sz="4" w:color="BDC3C7"/>
              <w:right w:val="single" w:sz="4" w:color="BDC3C7"/>
            </w:tcBorders>
          </w:tcPr>
          <w:p>
            <w:r>
              <w:t>+0.002</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occupancy_and_other.other_cost_change</w:t>
            </w:r>
          </w:p>
        </w:tc>
        <w:tc>
          <w:tcPr>
            <w:tcW w:type="dxa" w:w="1958"/>
            <w:tcBorders>
              <w:top w:val="single" w:sz="4" w:color="BDC3C7"/>
              <w:bottom w:val="single" w:sz="4" w:color="BDC3C7"/>
              <w:left w:val="single" w:sz="4" w:color="BDC3C7"/>
              <w:right w:val="single" w:sz="4" w:color="BDC3C7"/>
            </w:tcBorders>
          </w:tcPr>
          <w:p>
            <w:r>
              <w:t>+45.00</w:t>
            </w:r>
          </w:p>
        </w:tc>
        <w:tc>
          <w:tcPr>
            <w:tcW w:type="dxa" w:w="1958"/>
            <w:tcBorders>
              <w:top w:val="single" w:sz="4" w:color="BDC3C7"/>
              <w:bottom w:val="single" w:sz="4" w:color="BDC3C7"/>
              <w:left w:val="single" w:sz="4" w:color="BDC3C7"/>
              <w:right w:val="single" w:sz="4" w:color="BDC3C7"/>
            </w:tcBorders>
          </w:tcPr>
          <w:p>
            <w:r>
              <w:t>+46.88</w:t>
            </w:r>
          </w:p>
        </w:tc>
        <w:tc>
          <w:tcPr>
            <w:tcW w:type="dxa" w:w="1958"/>
            <w:tcBorders>
              <w:top w:val="single" w:sz="4" w:color="BDC3C7"/>
              <w:bottom w:val="single" w:sz="4" w:color="BDC3C7"/>
              <w:left w:val="single" w:sz="4" w:color="BDC3C7"/>
              <w:right w:val="single" w:sz="4" w:color="BDC3C7"/>
            </w:tcBorders>
          </w:tcPr>
          <w:p>
            <w:r>
              <w:t>+0.001</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same_store_sales.transactions</w:t>
            </w:r>
          </w:p>
        </w:tc>
        <w:tc>
          <w:tcPr>
            <w:tcW w:type="dxa" w:w="1958"/>
            <w:tcBorders>
              <w:top w:val="single" w:sz="4" w:color="BDC3C7"/>
              <w:bottom w:val="single" w:sz="4" w:color="BDC3C7"/>
              <w:left w:val="single" w:sz="4" w:color="BDC3C7"/>
              <w:right w:val="single" w:sz="4" w:color="BDC3C7"/>
            </w:tcBorders>
          </w:tcPr>
          <w:p>
            <w:r>
              <w:t>+0.33</w:t>
            </w:r>
          </w:p>
        </w:tc>
        <w:tc>
          <w:tcPr>
            <w:tcW w:type="dxa" w:w="1958"/>
            <w:tcBorders>
              <w:top w:val="single" w:sz="4" w:color="BDC3C7"/>
              <w:bottom w:val="single" w:sz="4" w:color="BDC3C7"/>
              <w:left w:val="single" w:sz="4" w:color="BDC3C7"/>
              <w:right w:val="single" w:sz="4" w:color="BDC3C7"/>
            </w:tcBorders>
          </w:tcPr>
          <w:p>
            <w:r>
              <w:t>+0.31</w:t>
            </w:r>
          </w:p>
        </w:tc>
        <w:tc>
          <w:tcPr>
            <w:tcW w:type="dxa" w:w="1958"/>
            <w:tcBorders>
              <w:top w:val="single" w:sz="4" w:color="BDC3C7"/>
              <w:bottom w:val="single" w:sz="4" w:color="BDC3C7"/>
              <w:left w:val="single" w:sz="4" w:color="BDC3C7"/>
              <w:right w:val="single" w:sz="4" w:color="BDC3C7"/>
            </w:tcBorders>
          </w:tcPr>
          <w:p>
            <w:r>
              <w:t>+0.001</w:t>
            </w:r>
          </w:p>
        </w:tc>
        <w:tc>
          <w:tcPr>
            <w:tcW w:type="dxa" w:w="1958"/>
            <w:tcBorders>
              <w:top w:val="single" w:sz="4" w:color="BDC3C7"/>
              <w:bottom w:val="single" w:sz="4" w:color="BDC3C7"/>
              <w:left w:val="single" w:sz="4" w:color="BDC3C7"/>
              <w:right w:val="single" w:sz="4" w:color="BDC3C7"/>
            </w:tcBorders>
          </w:tcPr>
          <w:p>
            <w:r>
              <w:t>0.40</w:t>
            </w:r>
          </w:p>
        </w:tc>
      </w:tr>
    </w:tbl>
    <w:p>
      <w:r>
        <w:t>Priced in: likely — Variant (+0.0%) within implied move noise (3.5%)</w:t>
      </w:r>
    </w:p>
    <w:p>
      <w:r>
        <w:t>Edge verdict: NO_CLEAR_EDGE (score 0.000).</w:t>
      </w:r>
    </w:p>
    <w:p>
      <w:pPr>
        <w:pStyle w:val="PullQuote"/>
      </w:pPr>
      <w:r>
        <w:t>Counter: the analyst claims A short is warranted despite a valuation 'near a multiple CMG rarely trades at.' — but The analyst concedes the stock trades at a rare discount and is near 52-week lows, with active takeover and Starbucks-merger speculation. Downside to the short thesis is ~4% of EPS on a multiple that is already compressed. Upside risk includes a control premium, multiple re-rating on any margin inflection, and buyback acceleration from a net-cash balance sheet. Without a derived market-implied…</w:t>
      </w:r>
    </w:p>
    <w:p>
      <w:pPr>
        <w:pStyle w:val="SectionHeading"/>
      </w:pPr>
      <w:r>
        <w:t>4. Catalysts</w:t>
      </w:r>
    </w:p>
    <w:p>
      <w:pPr>
        <w:pStyle w:val="ListBullet"/>
      </w:pPr>
      <w:r>
        <w:t>Next quarterly earnings report (2026-10-28 (21 days)) — resolves revenue + margins + guidance; confirms or challenges</w:t>
      </w:r>
    </w:p>
    <w:p>
      <w:pPr>
        <w:pStyle w:val="ListBullet"/>
      </w:pPr>
      <w:r>
        <w:t>Resolution: Restaurant margins recover toward 27% to 28% as the price and inflation dislocat (Resolves at earnings (2026-10-28)) — resolves labor_cost_delta_bps; confirms or challenges</w:t>
      </w:r>
    </w:p>
    <w:p>
      <w:pPr>
        <w:pStyle w:val="ListBullet"/>
      </w:pPr>
      <w:r>
        <w:t>Resolution: Comp momentum is durable and accelerating into 2027. (Resolves at earnings (2026-10-28)) — resolves sss_growth_pct; confirms or challenges</w:t>
      </w:r>
    </w:p>
    <w:p>
      <w:pPr>
        <w:pStyle w:val="ListBullet"/>
      </w:pPr>
      <w:r>
        <w:t>Resolution: HEEP drives 'hundreds of basis points' of comp uplift as it reaches about 2,000  (Resolves at earnings (2026-10-28)) — resolves sss_growth_pct; confirms or challenges</w:t>
      </w:r>
    </w:p>
    <w:p>
      <w:pPr>
        <w:pStyle w:val="ListBullet"/>
      </w:pPr>
      <w:r>
        <w:t>The Q3 2026 restaurant-level margin and adjusted G&amp;A guide given on the Q2 call. The deck references (Unknown timing) — resolves multiple; resolves uncertainty</w:t>
      </w:r>
    </w:p>
    <w:p>
      <w:pPr>
        <w:pStyle w:val="ListBullet"/>
      </w:pPr>
      <w:r>
        <w:t>Balance-sheet cash, investments and capex. We need these to confirm buyback capacity and the interes (Unknown timing) — resolves multiple; resolves uncertainty</w:t>
      </w:r>
    </w:p>
    <w:p>
      <w:pPr>
        <w:pStyle w:val="SectionHeading"/>
      </w:pPr>
      <w:r>
        <w:t>5. Risks, Blind Spots &amp; Kill Criteria</w:t>
      </w:r>
    </w:p>
    <w:p>
      <w:pPr>
        <w:pStyle w:val="SubHeading"/>
      </w:pPr>
      <w:r>
        <w:t>Top risks:</w:t>
      </w:r>
    </w:p>
    <w:p>
      <w:pPr>
        <w:pStyle w:val="ListBullet"/>
      </w:pPr>
      <w:r>
        <w:t>Restaurant margins recover toward 27% to 28% as the price and inflation dislocation closes. — counter: Q2 2026 restaurant margin was 25.2%, down 220bp. The CEO said HEEP labor savings are being reinvested ('two to three hours of efficiency back into our restaurants'). The CFO only commits that price and inflation will 'match' from Q4, which halts but does not reverse the gap. The 27% to 28% target is conditional on $4M AUVs, which are not reported. [serious]</w:t>
      </w:r>
    </w:p>
    <w:p>
      <w:pPr>
        <w:pStyle w:val="ListBullet"/>
      </w:pPr>
      <w:r>
        <w:t>Comp momentum is durable and accelerating into 2027. — counter: Q2's 2.2% was a two-year stack of about -1.8 on a -4.0% compare. The CFO said 'trends have been softer in recent weeks' (about -200bp in late July on cyclospora). Food-safety headlines returned on October 5, 2026, after an August salmonella lawsuit. Traffic plus mix has added roughly zero to comp in 2026. [serious]</w:t>
      </w:r>
    </w:p>
    <w:p>
      <w:pPr>
        <w:pStyle w:val="ListBullet2"/>
      </w:pPr>
      <w:r>
        <w:rPr>
          <w:i/>
        </w:rPr>
        <w:t>→ Research confirms: Food-safety headlines did return on October 5, 2026. Federal investigators released fresh updates on a multistate Salmonella outbreak (declared over October 2) involving 31 Chipotle locations across seven states, and regulators announced Cyclospora findings tied to a 2026 lettuce outbreak, reviving produce-safety concerns. (quiverquant.com)</w:t>
      </w:r>
    </w:p>
    <w:p>
      <w:pPr>
        <w:pStyle w:val="ListBullet"/>
      </w:pPr>
      <w:r>
        <w:t>FY2027 EPS of ~$1.32 comes from consensus being 'modestly too high' on comp, margin and buyback. — counter: The analyst's own inputs do not reconcile to $1.32. (1) Comp is 1.79% (price 2.0 + transactions 0.39 - mix 0.6) against a stated consensus of ~3.7%. That is roughly half the Street, not 'modestly' below. On a ~$13B FY2027 revenue base with typical comp flow-through, a ~190bp comp gap alone is worth about $0.05–0.07 of EPS. (2) The cost inputs (food +55, labor +50, other +45, about 150bp combined) read as cost-ratio deterioration. If so, they imply restaurant-level margin falls ~150bp in 2027, not that the Street's 60bp recovery is slightly too high. FY2027 revenue growth is ~10% (≈8–9% units plus a ~1.8% comp). Subtract ~150bp of margin on a ~15% operating base and operating income is roughly flat. Add buybacks and EPS grows low single digits, which lands near $1.17–1.20, not $1.32 (+16%). Either the cost inputs are not what they appear, or $1.32 is far too high. In both cases, the stated $0.05 gap is not the output of the stated drivers. Source: analyst assumptions vs quarterly_fin margin base (FY2025 op margins 14.1–18.2%). [serious]</w:t>
      </w:r>
    </w:p>
    <w:p>
      <w:pPr>
        <w:pStyle w:val="SubHeading"/>
      </w:pPr>
      <w:r>
        <w:t>Blind spots (auditor-independent):</w:t>
      </w:r>
    </w:p>
    <w:p>
      <w:pPr>
        <w:pStyle w:val="ListBullet"/>
      </w:pPr>
      <w:r>
        <w:t>Takeover optionality. Starbucks-merger and takeover rumors moved the stock on 10/1 and 10/6. Shorting a cheap, net-cash, company-owned brand with active M&amp;A chatter means capping upside at ~4% EPS error while taking uncapped gap-up risk. The pitch does not mention it.</w:t>
      </w:r>
    </w:p>
    <w:p>
      <w:pPr>
        <w:pStyle w:val="ListBullet"/>
      </w:pPr>
      <w:r>
        <w:t>Timing mismatch with catalysts. Q3 2026 reports in late October, three weeks out. The Q3 2025 comp base was roughly +0.3% and the Q4 2025 base was negative, so the next two prints face the easiest compares of the cycle under a freshly raised guide. The FY2027 thesis can only play out 12+ months away, but the position has to survive two likely beat-and-hold prints first.</w:t>
      </w:r>
    </w:p>
    <w:p>
      <w:pPr>
        <w:pStyle w:val="ListBullet"/>
      </w:pPr>
      <w:r>
        <w:t>Two-year stacks are the analyst's best bear weapon, and they didn't use it. Q2 2026 +2.2% on Q2 2025's decline is still a negative two-year stack. Instead of pressing that, the analyst framed the debate around FY2027 point estimates.</w:t>
      </w:r>
    </w:p>
    <w:p>
      <w:pPr>
        <w:pStyle w:val="KillCriteria"/>
      </w:pPr>
      <w:r>
        <w:t>What would change our mind: Print on same_store_sales.menu_price comes in below our +2.5 figure (toward street +2.3) in the next 1-2 prints.</w:t>
      </w:r>
    </w:p>
    <w:p>
      <w:pPr>
        <w:pStyle w:val="SectionHeading"/>
      </w:pPr>
      <w:r>
        <w:t>Appendix</w:t>
      </w:r>
    </w:p>
    <w:p>
      <w:pPr>
        <w:pStyle w:val="SubHeading"/>
      </w:pPr>
      <w:r>
        <w:t>Evidence gaps (research TODO):</w:t>
      </w:r>
    </w:p>
    <w:p>
      <w:pPr>
        <w:pStyle w:val="ListBullet"/>
      </w:pPr>
      <w:r>
        <w:t>The Q3 2026 restaurant-level margin and adjusted G&amp;A guide given on the Q2 call. The deck references it but the figure is not in the corpus.</w:t>
      </w:r>
    </w:p>
    <w:p>
      <w:pPr>
        <w:pStyle w:val="ListBullet"/>
      </w:pPr>
      <w:r>
        <w:t>Balance-sheet cash, investments and capex. We need these to confirm buyback capacity and the interest-income decline we inferred from margins.</w:t>
      </w:r>
    </w:p>
    <w:p>
      <w:pPr>
        <w:pStyle w:val="ListBullet"/>
      </w:pPr>
      <w:r>
        <w:t>HEEP store-cohort comp and margin data versus non-HEEP stores.</w:t>
      </w:r>
    </w:p>
    <w:p>
      <w:pPr>
        <w:pStyle w:val="ListBullet"/>
      </w:pPr>
      <w:r>
        <w:t>How much of the 2026 comp came from LTOs versus core traffic, and LTO repeat rates (pitch questions 1 and 5 are unanswered).</w:t>
      </w:r>
    </w:p>
    <w:p>
      <w:pPr>
        <w:pStyle w:val="ListBullet"/>
      </w:pPr>
      <w:r>
        <w:t>Severity and scope of the October 2026 food-safety headlines, and the cyclospora trend through September.</w:t>
      </w:r>
    </w:p>
    <w:p>
      <w:pPr>
        <w:pStyle w:val="ListBullet"/>
      </w:pPr>
      <w:r>
        <w:t>Whether the $27M Q4 gift-card breakage true-up recurs in Q4 2026. This swings the implied Q4 comp by about 0.9 point.</w:t>
      </w:r>
    </w:p>
    <w:p>
      <w:pPr>
        <w:pStyle w:val="ListBullet"/>
      </w:pPr>
      <w:r>
        <w:t>FY2027 opening guidance and the catering national launch cost.</w:t>
      </w:r>
    </w:p>
    <w:p>
      <w:pPr>
        <w:pStyle w:val="ListBullet"/>
      </w:pPr>
      <w:r>
        <w:t>The Street's modeled FY2027 share count and buyback assumption.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