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CMG — Chipotle Mexican Grill</w:t>
      </w:r>
    </w:p>
    <w:p>
      <w:pPr>
        <w:pStyle w:val="SmallMeta"/>
      </w:pPr>
      <w:r>
        <w:t>As of 2026-04-20  |  Schema: restaurant  |  Data: polygon (FY2025)</w:t>
      </w:r>
    </w:p>
    <w:p>
      <w:pPr>
        <w:pStyle w:val="SubHeading"/>
      </w:pPr>
      <w:r>
        <w:rPr>
          <w:color w:val="8C1D40"/>
        </w:rPr>
        <w:t>Direction: LONG | PT: $68.50 | Current: $55.20 | Upside: +24.1%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underestimates SSS.</w:t>
      </w:r>
    </w:p>
    <w:p>
      <w:pPr>
        <w:pStyle w:val="ListBullet"/>
      </w:pPr>
      <w:r>
        <w:t>Next catalyst: Q2 earnings (45 days)</w:t>
      </w:r>
    </w:p>
    <w:p>
      <w:pPr>
        <w:pStyle w:val="ListBullet"/>
      </w:pPr>
      <w:r>
        <w:t>Top risk: Repeat claim</w:t>
      </w:r>
    </w:p>
    <w:p>
      <w:pPr>
        <w:pStyle w:val="SectionHeading"/>
      </w:pPr>
      <w:r>
        <w:t>1. Edge</w:t>
      </w:r>
    </w:p>
    <w:p>
      <w:r>
        <w:t>Street underestimates SSS.</w:t>
      </w:r>
    </w:p>
    <w:p>
      <w:r>
        <w:t>Consensus treats LTO as one-time.</w:t>
      </w:r>
    </w:p>
    <w:p>
      <w:r>
        <w:t>The debate: Can SSS growth sustain as Q3 2025 lapped a tough chicken LTO comp?</w:t>
      </w:r>
    </w:p>
    <w:p>
      <w:pPr>
        <w:pStyle w:val="PullQuote"/>
      </w:pPr>
      <w:r>
        <w:t>Counter: the analyst claims repeat occasion durable — but trial-driven tourist traffic will lap.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Same-Store Sales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+5.00%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traffic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+2.50%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Q3 call CEO said repeat visits rose.</w:t>
            </w:r>
          </w:p>
        </w:tc>
      </w:tr>
    </w:tbl>
    <w:p>
      <w:pPr>
        <w:pStyle w:val="SectionHeading"/>
      </w:pPr>
      <w:r>
        <w:t>3. Consensus Gap &amp; Valuation</w:t>
      </w:r>
    </w:p>
    <w:p>
      <w:r>
        <w:t>Our estimate: EPS $11.85 vs. consensus $11.30 ($0.55 / 4.9% above).</w:t>
      </w:r>
    </w:p>
    <w:p>
      <w:r>
        <w:t>Valuation: PT $68.50, method: PE_DCF.</w:t>
      </w:r>
    </w:p>
    <w:p>
      <w:r>
        <w:t>Priced in: not fully</w:t>
      </w:r>
    </w:p>
    <w:p>
      <w:r>
        <w:t>Edge verdict: PROBABLE_EDGE (score 0.087).</w:t>
      </w:r>
    </w:p>
    <w:p>
      <w:pPr>
        <w:pStyle w:val="PullQuote"/>
      </w:pPr>
      <w:r>
        <w:t>Counter: the analyst claims multiple holds — but SSS decel compresses 28x to 22x.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Q2 earnings (45 days) — resolves sss_growth_pct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Repeat claim — counter: Trial traffic mixed in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Protein costs</w:t>
      </w:r>
    </w:p>
    <w:p>
      <w:pPr>
        <w:pStyle w:val="ListBullet"/>
      </w:pPr>
      <w:r>
        <w:t>Labor</w:t>
      </w:r>
    </w:p>
    <w:p>
      <w:pPr>
        <w:pStyle w:val="ListBullet"/>
      </w:pPr>
      <w:r>
        <w:t>Saturation</w:t>
      </w:r>
    </w:p>
    <w:p>
      <w:pPr>
        <w:pStyle w:val="KillCriteria"/>
      </w:pPr>
      <w:r>
        <w:t>What would change our mind: Unable to close gap: Need cohort data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Need cohort data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