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CMG — Chipotle Mexican Grill</w:t>
      </w:r>
    </w:p>
    <w:p>
      <w:pPr>
        <w:pStyle w:val="SmallMeta"/>
      </w:pPr>
      <w:r>
        <w:t>As of 2026-04-20  |  Schema: restaurant  |  Data: polygon (FY2025)</w:t>
      </w:r>
    </w:p>
    <w:p>
      <w:pPr>
        <w:pStyle w:val="SubHeading"/>
      </w:pPr>
      <w:r>
        <w:rPr>
          <w:color w:val="8C1D40"/>
        </w:rPr>
        <w:t>Direction: LONG | PT: $68.50 | Current: $55.20 | Upside: +24.1%</w:t>
      </w:r>
    </w:p>
    <w:p>
      <w:pPr>
        <w:pStyle w:val="SubHeading"/>
      </w:pPr>
      <w:r>
        <w:t>Summary</w:t>
      </w:r>
    </w:p>
    <w:p>
      <w:pPr>
        <w:pStyle w:val="ListBullet"/>
      </w:pPr>
      <w:r>
        <w:t>Thesis: Street underestimates SSS because traffic from core menu continues to rise even as LTO contribution lapses.</w:t>
      </w:r>
    </w:p>
    <w:p>
      <w:pPr>
        <w:pStyle w:val="ListBullet"/>
      </w:pPr>
      <w:r>
        <w:t>Next catalyst: Q2 2026 earnings (next 45 days)</w:t>
      </w:r>
    </w:p>
    <w:p>
      <w:pPr>
        <w:pStyle w:val="ListBullet"/>
      </w:pPr>
      <w:r>
        <w:t>Top risk: Repeat occasion claim on chicken LTO</w:t>
      </w:r>
    </w:p>
    <w:p>
      <w:pPr>
        <w:pStyle w:val="SectionHeading"/>
      </w:pPr>
      <w:r>
        <w:t>1. Edge</w:t>
      </w:r>
    </w:p>
    <w:p>
      <w:r>
        <w:t>Street underestimates SSS because traffic from core menu continues to rise even as LTO contribution lapses.</w:t>
      </w:r>
    </w:p>
    <w:p>
      <w:r>
        <w:t>Consensus treats Q3 2024 LTO as a one-time boost; in the Q3 call management emphasized repeat occasion data showing returning guests.</w:t>
      </w:r>
    </w:p>
    <w:p>
      <w:r>
        <w:t>The debate: Can SSS growth sustain as Q3 2025 lapped a tough chicken LTO comp?</w:t>
      </w:r>
    </w:p>
    <w:p>
      <w:pPr>
        <w:pStyle w:val="SubHeading"/>
      </w:pPr>
      <w:r>
        <w:t>What consensus assumes:</w:t>
      </w:r>
    </w:p>
    <w:p>
      <w:pPr>
        <w:pStyle w:val="ListBullet"/>
      </w:pPr>
      <w:r>
        <w:t>sss_growth_pct: street likely models +2% SSS in FY26 assuming chicken LTO headwind</w:t>
      </w:r>
    </w:p>
    <w:p>
      <w:pPr>
        <w:pStyle w:val="SubHeading"/>
      </w:pPr>
      <w:r>
        <w:t>Where we differ from guidance:</w:t>
      </w:r>
    </w:p>
    <w:p>
      <w:pPr>
        <w:pStyle w:val="ListBullet"/>
      </w:pPr>
      <w:r>
        <w:t>sss_growth_pct: guide implies +3-4%, we see +5% via repeat traffic</w:t>
      </w:r>
    </w:p>
    <w:p>
      <w:r>
        <w:t>Management tone shift in Q3 2025 call: CEO shifted from confident to hedging on LTO run-rate.</w:t>
      </w:r>
    </w:p>
    <w:p>
      <w:pPr>
        <w:pStyle w:val="PullQuote"/>
      </w:pPr>
      <w:r>
        <w:t>Counter: the analyst claims repeat occasion on chicken LTO is durable — but transcript language on coastal markets hints at trial-driven tourist traffic, which would not repeat once the LTO laps.</w:t>
      </w:r>
    </w:p>
    <w:p>
      <w:pPr>
        <w:pStyle w:val="SectionHeading"/>
      </w:pPr>
      <w:r>
        <w:t>2. Drivers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Driver / Component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Value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Conf.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Same-Store Sales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+5.00%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traffic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+2.50%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0.70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In the Q3 2025 call, CEO said repeat-visit cohort rose 180bps YoY on core menu.</w:t>
            </w:r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ticket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+2.50%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0.60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Mix shift toward premium proteins, no LTO contribution assumed next year.</w:t>
            </w:r>
          </w:p>
        </w:tc>
      </w:tr>
    </w:tbl>
    <w:p>
      <w:pPr>
        <w:pStyle w:val="SubHeading"/>
      </w:pPr>
      <w:r>
        <w:t>Bear revisions:</w:t>
      </w:r>
    </w:p>
    <w:p>
      <w:pPr>
        <w:pStyle w:val="ListBullet"/>
      </w:pPr>
      <w:r>
        <w:t>Same-Store Sales.traffic: 2.5 → 1.5 — Trial traffic may not repeat if chicken LTO lapses cleanly.</w:t>
      </w:r>
    </w:p>
    <w:p>
      <w:pPr>
        <w:pStyle w:val="PullQuote"/>
      </w:pPr>
      <w:r>
        <w:t>Counter: the analyst claims repeat occasion on chicken LTO is durable — but transcript language on coastal markets hints at trial-driven tourist traffic, which would not repeat once the LTO laps.</w:t>
      </w:r>
    </w:p>
    <w:p>
      <w:pPr>
        <w:pStyle w:val="SectionHeading"/>
      </w:pPr>
      <w:r>
        <w:t>3. Consensus Gap &amp; Valuation</w:t>
      </w:r>
    </w:p>
    <w:p>
      <w:r>
        <w:t>Our estimate: EPS $11.85 vs. consensus $11.30 ($0.55 / 4.9% above).</w:t>
      </w:r>
    </w:p>
    <w:p>
      <w:r>
        <w:t>Variant driven by traffic conviction; catalyst proximity medium.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Ours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Street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Δ EPS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Conf.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Same-Store Sales.traffic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+2.50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+1.00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+0.450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0.70</w:t>
            </w:r>
          </w:p>
        </w:tc>
      </w:tr>
    </w:tbl>
    <w:p>
      <w:r>
        <w:t>Valuation: PT $68.50, implied P/E 28.0×, method: PE_DCF_blend.</w:t>
      </w:r>
    </w:p>
    <w:p>
      <w:r>
        <w:t>Priced in: not fully — Short interest suggests variant not fully priced.</w:t>
      </w:r>
    </w:p>
    <w:p>
      <w:r>
        <w:t>Edge verdict: PROBABLE_EDGE (score 0.087).</w:t>
      </w:r>
    </w:p>
    <w:p>
      <w:pPr>
        <w:pStyle w:val="PullQuote"/>
      </w:pPr>
      <w:r>
        <w:t>Counter: the analyst claims current multiple can hold — but if SSS decelerates into FY27, the 28x multiple compresses toward peer median 22x.</w:t>
      </w:r>
    </w:p>
    <w:p>
      <w:pPr>
        <w:pStyle w:val="SectionHeading"/>
      </w:pPr>
      <w:r>
        <w:t>4. Catalysts</w:t>
      </w:r>
    </w:p>
    <w:p>
      <w:pPr>
        <w:pStyle w:val="ListBullet"/>
      </w:pPr>
      <w:r>
        <w:t>Q2 2026 earnings (next 45 days) — resolves sss_growth_pct; confirms repeat cohort</w:t>
      </w:r>
    </w:p>
    <w:p>
      <w:pPr>
        <w:pStyle w:val="SectionHeading"/>
      </w:pPr>
      <w:r>
        <w:t>5. Risks, Blind Spots &amp; Kill Criteria</w:t>
      </w:r>
    </w:p>
    <w:p>
      <w:pPr>
        <w:pStyle w:val="SubHeading"/>
      </w:pPr>
      <w:r>
        <w:t>Top risks:</w:t>
      </w:r>
    </w:p>
    <w:p>
      <w:pPr>
        <w:pStyle w:val="ListBullet"/>
      </w:pPr>
      <w:r>
        <w:t>Repeat occasion claim on chicken LTO — counter: Transcript flagged trial-driven tourist traffic in coastal markets [moderate]</w:t>
      </w:r>
    </w:p>
    <w:p>
      <w:pPr>
        <w:pStyle w:val="SubHeading"/>
      </w:pPr>
      <w:r>
        <w:t>Blind spots (auditor-independent):</w:t>
      </w:r>
    </w:p>
    <w:p>
      <w:pPr>
        <w:pStyle w:val="ListBullet"/>
      </w:pPr>
      <w:r>
        <w:t>Protein cost inflation into FY26</w:t>
      </w:r>
    </w:p>
    <w:p>
      <w:pPr>
        <w:pStyle w:val="ListBullet"/>
      </w:pPr>
      <w:r>
        <w:t>California wage spillover into other markets</w:t>
      </w:r>
    </w:p>
    <w:p>
      <w:pPr>
        <w:pStyle w:val="ListBullet"/>
      </w:pPr>
      <w:r>
        <w:t>Digital sales saturation signal</w:t>
      </w:r>
    </w:p>
    <w:p>
      <w:pPr>
        <w:pStyle w:val="KillCriteria"/>
      </w:pPr>
      <w:r>
        <w:t>What would change our mind: Print on Same-Store Sales.traffic comes in below our +2.5 figure (toward street +1.0) in the next 1-2 prints.</w:t>
      </w:r>
    </w:p>
    <w:p>
      <w:pPr>
        <w:pStyle w:val="SectionHeading"/>
      </w:pPr>
      <w:r>
        <w:t>Appendix</w:t>
      </w:r>
    </w:p>
    <w:p>
      <w:pPr>
        <w:pStyle w:val="SubHeading"/>
      </w:pPr>
      <w:r>
        <w:t>Evidence gaps (research TODO):</w:t>
      </w:r>
    </w:p>
    <w:p>
      <w:pPr>
        <w:pStyle w:val="ListBullet"/>
      </w:pPr>
      <w:r>
        <w:t>Need chicken LTO cohort retention data from Q2 2026 print to validate repeat thesis.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spacing w:before="0" w:after="40" w:line="276" w:lineRule="auto"/>
    </w:pPr>
    <w:rPr>
      <w:rFonts w:ascii="Calibri" w:hAnsi="Calibri"/>
      <w:b/>
      <w:i w:val="0"/>
      <w:color w:val="0F2A4E"/>
      <w:sz w:val="40"/>
    </w:rPr>
  </w:style>
  <w:style w:type="paragraph" w:customStyle="1" w:styleId="SectionHeading">
    <w:name w:val="SectionHeading"/>
    <w:pPr>
      <w:spacing w:before="280" w:after="80" w:line="276" w:lineRule="auto"/>
    </w:pPr>
    <w:rPr>
      <w:rFonts w:ascii="Calibri" w:hAnsi="Calibri"/>
      <w:b/>
      <w:i w:val="0"/>
      <w:color w:val="0F2A4E"/>
      <w:sz w:val="28"/>
    </w:rPr>
  </w:style>
  <w:style w:type="paragraph" w:customStyle="1" w:styleId="SubHeading">
    <w:name w:val="SubHeading"/>
    <w:pPr>
      <w:spacing w:before="120" w:after="40" w:line="276" w:lineRule="auto"/>
    </w:pPr>
    <w:rPr>
      <w:rFonts w:ascii="Calibri" w:hAnsi="Calibri"/>
      <w:b/>
      <w:i w:val="0"/>
      <w:color w:val="334B6B"/>
      <w:sz w:val="22"/>
    </w:rPr>
  </w:style>
  <w:style w:type="paragraph" w:customStyle="1" w:styleId="PullQuote">
    <w:name w:val="PullQuote"/>
    <w:pPr>
      <w:spacing w:before="80" w:after="120" w:line="276" w:lineRule="auto"/>
      <w:ind w:left="432"/>
    </w:pPr>
    <w:rPr>
      <w:rFonts w:ascii="Calibri" w:hAnsi="Calibri"/>
      <w:b w:val="0"/>
      <w:i/>
      <w:color w:val="555555"/>
      <w:sz w:val="21"/>
    </w:rPr>
  </w:style>
  <w:style w:type="paragraph" w:customStyle="1" w:styleId="KillCriteria">
    <w:name w:val="KillCriteria"/>
    <w:pPr>
      <w:spacing w:before="120" w:after="120" w:line="276" w:lineRule="auto"/>
    </w:pPr>
    <w:rPr>
      <w:rFonts w:ascii="Calibri" w:hAnsi="Calibri"/>
      <w:b/>
      <w:i w:val="0"/>
      <w:color w:val="8C1D40"/>
      <w:sz w:val="21"/>
    </w:rPr>
  </w:style>
  <w:style w:type="paragraph" w:customStyle="1" w:styleId="ReportBullet">
    <w:name w:val="ReportBullet"/>
    <w:pPr>
      <w:spacing w:before="0" w:after="60" w:line="276" w:lineRule="auto"/>
    </w:pPr>
    <w:rPr>
      <w:rFonts w:ascii="Calibri" w:hAnsi="Calibri"/>
      <w:b w:val="0"/>
      <w:i w:val="0"/>
      <w:color w:val="1A1A1A"/>
      <w:sz w:val="21"/>
    </w:rPr>
  </w:style>
  <w:style w:type="paragraph" w:customStyle="1" w:styleId="ReportCaption">
    <w:name w:val="ReportCaption"/>
    <w:pPr>
      <w:spacing w:before="40" w:after="40" w:line="276" w:lineRule="auto"/>
    </w:pPr>
    <w:rPr>
      <w:rFonts w:ascii="Calibri" w:hAnsi="Calibri"/>
      <w:b w:val="0"/>
      <w:i/>
      <w:color w:val="555555"/>
      <w:sz w:val="18"/>
    </w:rPr>
  </w:style>
  <w:style w:type="paragraph" w:customStyle="1" w:styleId="SmallMeta">
    <w:name w:val="SmallMeta"/>
    <w:pPr>
      <w:spacing w:before="0" w:after="80" w:line="276" w:lineRule="auto"/>
    </w:pPr>
    <w:rPr>
      <w:rFonts w:ascii="Calibri" w:hAnsi="Calibri"/>
      <w:b w:val="0"/>
      <w:i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