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COST — COST</w:t>
      </w:r>
    </w:p>
    <w:p>
      <w:pPr>
        <w:pStyle w:val="SmallMeta"/>
      </w:pPr>
      <w:r>
        <w:t>As of 2026-05-07  |  Schema: general  |  Data: polygon+alpha_vantage (FY2025)</w:t>
      </w:r>
    </w:p>
    <w:p>
      <w:pPr>
        <w:pStyle w:val="SubHeading"/>
      </w:pPr>
      <w:r>
        <w:rPr>
          <w:color w:val="8C1D40"/>
        </w:rPr>
        <w:t>Current: $1012.06</w:t>
      </w:r>
    </w:p>
    <w:p>
      <w:pPr>
        <w:pStyle w:val="SubHeading"/>
      </w:pPr>
      <w:r>
        <w:t>Summary</w:t>
      </w:r>
    </w:p>
    <w:p>
      <w:pPr>
        <w:pStyle w:val="ListBullet"/>
      </w:pPr>
      <w:r>
        <w:t>Thesis: Consensus FY26 revenue of $299B appears achievable despite warehouse opening delays, but street's 7.8% FY27 revenue growth may be too conservative given management's confidence in returning to 30+ openings and strong new warehouse productivity trends.</w:t>
      </w:r>
    </w:p>
    <w:p>
      <w:pPr>
        <w:pStyle w:val="ListBullet"/>
      </w:pPr>
      <w:r>
        <w:t>Next catalyst: Next quarterly earnings report (2026-05-28 (21 days))</w:t>
      </w:r>
    </w:p>
    <w:p>
      <w:pPr>
        <w:pStyle w:val="ListBullet"/>
      </w:pPr>
      <w:r>
        <w:t>Top risk: Street's 7.8% FY27 revenue growth may be too conservative given management's confidence in returning to 30+ openings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$4.91</w:t>
            </w:r>
          </w:p>
        </w:tc>
        <w:tc>
          <w:tcPr>
            <w:tcW w:type="dxa" w:w="1399"/>
            <w:tcBorders>
              <w:top w:val="single" w:sz="4" w:color="BDC3C7"/>
              <w:bottom w:val="single" w:sz="4" w:color="BDC3C7"/>
              <w:left w:val="single" w:sz="4" w:color="BDC3C7"/>
              <w:right w:val="single" w:sz="4" w:color="BDC3C7"/>
            </w:tcBorders>
          </w:tcPr>
          <w:p>
            <w:r>
              <w:t>$4.66 – $5.14</w:t>
            </w:r>
          </w:p>
        </w:tc>
        <w:tc>
          <w:tcPr>
            <w:tcW w:type="dxa" w:w="1399"/>
            <w:tcBorders>
              <w:top w:val="single" w:sz="4" w:color="BDC3C7"/>
              <w:bottom w:val="single" w:sz="4" w:color="BDC3C7"/>
              <w:left w:val="single" w:sz="4" w:color="BDC3C7"/>
              <w:right w:val="single" w:sz="4" w:color="BDC3C7"/>
            </w:tcBorders>
          </w:tcPr>
          <w:p>
            <w:r>
              <w:t>28</w:t>
            </w:r>
          </w:p>
        </w:tc>
        <w:tc>
          <w:tcPr>
            <w:tcW w:type="dxa" w:w="1399"/>
            <w:tcBorders>
              <w:top w:val="single" w:sz="4" w:color="BDC3C7"/>
              <w:bottom w:val="single" w:sz="4" w:color="BDC3C7"/>
              <w:left w:val="single" w:sz="4" w:color="BDC3C7"/>
              <w:right w:val="single" w:sz="4" w:color="BDC3C7"/>
            </w:tcBorders>
          </w:tcPr>
          <w:p>
            <w:r>
              <w:t>+14.7%</w:t>
            </w:r>
          </w:p>
        </w:tc>
        <w:tc>
          <w:tcPr>
            <w:tcW w:type="dxa" w:w="1399"/>
            <w:tcBorders>
              <w:top w:val="single" w:sz="4" w:color="BDC3C7"/>
              <w:bottom w:val="single" w:sz="4" w:color="BDC3C7"/>
              <w:left w:val="single" w:sz="4" w:color="BDC3C7"/>
              <w:right w:val="single" w:sz="4" w:color="BDC3C7"/>
            </w:tcBorders>
          </w:tcPr>
          <w:p>
            <w:r>
              <w:t>↑ +0.008</w:t>
            </w:r>
          </w:p>
        </w:tc>
        <w:tc>
          <w:tcPr>
            <w:tcW w:type="dxa" w:w="1399"/>
            <w:tcBorders>
              <w:top w:val="single" w:sz="4" w:color="BDC3C7"/>
              <w:bottom w:val="single" w:sz="4" w:color="BDC3C7"/>
              <w:left w:val="single" w:sz="4" w:color="BDC3C7"/>
              <w:right w:val="single" w:sz="4" w:color="BDC3C7"/>
            </w:tcBorders>
          </w:tcPr>
          <w:p>
            <w:r>
              <w:t>↑4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$6.50</w:t>
            </w:r>
          </w:p>
        </w:tc>
        <w:tc>
          <w:tcPr>
            <w:tcW w:type="dxa" w:w="1399"/>
            <w:tcBorders>
              <w:top w:val="single" w:sz="4" w:color="BDC3C7"/>
              <w:bottom w:val="single" w:sz="4" w:color="BDC3C7"/>
              <w:left w:val="single" w:sz="4" w:color="BDC3C7"/>
              <w:right w:val="single" w:sz="4" w:color="BDC3C7"/>
            </w:tcBorders>
          </w:tcPr>
          <w:p>
            <w:r>
              <w:t>$6.25 – $7.10</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+10.8%</w:t>
            </w:r>
          </w:p>
        </w:tc>
        <w:tc>
          <w:tcPr>
            <w:tcW w:type="dxa" w:w="1399"/>
            <w:tcBorders>
              <w:top w:val="single" w:sz="4" w:color="BDC3C7"/>
              <w:bottom w:val="single" w:sz="4" w:color="BDC3C7"/>
              <w:left w:val="single" w:sz="4" w:color="BDC3C7"/>
              <w:right w:val="single" w:sz="4" w:color="BDC3C7"/>
            </w:tcBorders>
          </w:tcPr>
          <w:p>
            <w:r>
              <w:t>↑ +0.020</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$20.49</w:t>
            </w:r>
          </w:p>
        </w:tc>
        <w:tc>
          <w:tcPr>
            <w:tcW w:type="dxa" w:w="1399"/>
            <w:tcBorders>
              <w:top w:val="single" w:sz="4" w:color="BDC3C7"/>
              <w:bottom w:val="single" w:sz="4" w:color="BDC3C7"/>
              <w:left w:val="single" w:sz="4" w:color="BDC3C7"/>
              <w:right w:val="single" w:sz="4" w:color="BDC3C7"/>
            </w:tcBorders>
          </w:tcPr>
          <w:p>
            <w:r>
              <w:t>$19.99 – $21.32</w:t>
            </w:r>
          </w:p>
        </w:tc>
        <w:tc>
          <w:tcPr>
            <w:tcW w:type="dxa" w:w="1399"/>
            <w:tcBorders>
              <w:top w:val="single" w:sz="4" w:color="BDC3C7"/>
              <w:bottom w:val="single" w:sz="4" w:color="BDC3C7"/>
              <w:left w:val="single" w:sz="4" w:color="BDC3C7"/>
              <w:right w:val="single" w:sz="4" w:color="BDC3C7"/>
            </w:tcBorders>
          </w:tcPr>
          <w:p>
            <w:r>
              <w:t>26</w:t>
            </w:r>
          </w:p>
        </w:tc>
        <w:tc>
          <w:tcPr>
            <w:tcW w:type="dxa" w:w="1399"/>
            <w:tcBorders>
              <w:top w:val="single" w:sz="4" w:color="BDC3C7"/>
              <w:bottom w:val="single" w:sz="4" w:color="BDC3C7"/>
              <w:left w:val="single" w:sz="4" w:color="BDC3C7"/>
              <w:right w:val="single" w:sz="4" w:color="BDC3C7"/>
            </w:tcBorders>
          </w:tcPr>
          <w:p>
            <w:r>
              <w:t>+12.5%</w:t>
            </w:r>
          </w:p>
        </w:tc>
        <w:tc>
          <w:tcPr>
            <w:tcW w:type="dxa" w:w="1399"/>
            <w:tcBorders>
              <w:top w:val="single" w:sz="4" w:color="BDC3C7"/>
              <w:bottom w:val="single" w:sz="4" w:color="BDC3C7"/>
              <w:left w:val="single" w:sz="4" w:color="BDC3C7"/>
              <w:right w:val="single" w:sz="4" w:color="BDC3C7"/>
            </w:tcBorders>
          </w:tcPr>
          <w:p>
            <w:r>
              <w:t>↑ +0.029</w:t>
            </w:r>
          </w:p>
        </w:tc>
        <w:tc>
          <w:tcPr>
            <w:tcW w:type="dxa" w:w="1399"/>
            <w:tcBorders>
              <w:top w:val="single" w:sz="4" w:color="BDC3C7"/>
              <w:bottom w:val="single" w:sz="4" w:color="BDC3C7"/>
              <w:left w:val="single" w:sz="4" w:color="BDC3C7"/>
              <w:right w:val="single" w:sz="4" w:color="BDC3C7"/>
            </w:tcBorders>
          </w:tcPr>
          <w:p>
            <w:r>
              <w:t>↑5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$22.55</w:t>
            </w:r>
          </w:p>
        </w:tc>
        <w:tc>
          <w:tcPr>
            <w:tcW w:type="dxa" w:w="1399"/>
            <w:tcBorders>
              <w:top w:val="single" w:sz="4" w:color="BDC3C7"/>
              <w:bottom w:val="single" w:sz="4" w:color="BDC3C7"/>
              <w:left w:val="single" w:sz="4" w:color="BDC3C7"/>
              <w:right w:val="single" w:sz="4" w:color="BDC3C7"/>
            </w:tcBorders>
          </w:tcPr>
          <w:p>
            <w:r>
              <w:t>$21.64 – $24.64</w:t>
            </w:r>
          </w:p>
        </w:tc>
        <w:tc>
          <w:tcPr>
            <w:tcW w:type="dxa" w:w="1399"/>
            <w:tcBorders>
              <w:top w:val="single" w:sz="4" w:color="BDC3C7"/>
              <w:bottom w:val="single" w:sz="4" w:color="BDC3C7"/>
              <w:left w:val="single" w:sz="4" w:color="BDC3C7"/>
              <w:right w:val="single" w:sz="4" w:color="BDC3C7"/>
            </w:tcBorders>
          </w:tcPr>
          <w:p>
            <w:r>
              <w:t>30</w:t>
            </w:r>
          </w:p>
        </w:tc>
        <w:tc>
          <w:tcPr>
            <w:tcW w:type="dxa" w:w="1399"/>
            <w:tcBorders>
              <w:top w:val="single" w:sz="4" w:color="BDC3C7"/>
              <w:bottom w:val="single" w:sz="4" w:color="BDC3C7"/>
              <w:left w:val="single" w:sz="4" w:color="BDC3C7"/>
              <w:right w:val="single" w:sz="4" w:color="BDC3C7"/>
            </w:tcBorders>
          </w:tcPr>
          <w:p>
            <w:r>
              <w:t>+10.1%</w:t>
            </w:r>
          </w:p>
        </w:tc>
        <w:tc>
          <w:tcPr>
            <w:tcW w:type="dxa" w:w="1399"/>
            <w:tcBorders>
              <w:top w:val="single" w:sz="4" w:color="BDC3C7"/>
              <w:bottom w:val="single" w:sz="4" w:color="BDC3C7"/>
              <w:left w:val="single" w:sz="4" w:color="BDC3C7"/>
              <w:right w:val="single" w:sz="4" w:color="BDC3C7"/>
            </w:tcBorders>
          </w:tcPr>
          <w:p>
            <w:r>
              <w:t>↑ +0.068</w:t>
            </w:r>
          </w:p>
        </w:tc>
        <w:tc>
          <w:tcPr>
            <w:tcW w:type="dxa" w:w="1399"/>
            <w:tcBorders>
              <w:top w:val="single" w:sz="4" w:color="BDC3C7"/>
              <w:bottom w:val="single" w:sz="4" w:color="BDC3C7"/>
              <w:left w:val="single" w:sz="4" w:color="BDC3C7"/>
              <w:right w:val="single" w:sz="4" w:color="BDC3C7"/>
            </w:tcBorders>
          </w:tcPr>
          <w:p>
            <w:r>
              <w:t>↑7 / ↓0</w:t>
            </w:r>
          </w:p>
        </w:tc>
      </w:tr>
    </w:tbl>
    <w:p>
      <w:r>
        <w:t>Revenue consensus: Q $68.99B (+9.2%)  |  Q+1 $93.37B (+8.4%)  |  FY $299.07B (+8.7%)  |  FY+1 $322.41B (+7.8%)</w:t>
      </w:r>
    </w:p>
    <w:p>
      <w:r>
        <w:t>Price targets: Mean $1072.16  |  Median $1100.00  |  Range $650.00–$1315.00  |  Current $1012.06 (+5.9% to mean)</w:t>
      </w:r>
    </w:p>
    <w:p>
      <w:r>
        <w:t>Analyst ratings (n=36): Strong Buy 3 · Buy 19 · Hold 12 · Sell 2 · Strong Sell 0  ·  61% bullish</w:t>
      </w:r>
    </w:p>
    <w:p>
      <w:r>
        <w:t>Next earnings: 2026-05-28 (21d out)  ·  EPS $4.95 ($4.66–$6.48)  ·  Rev $68.99B</w:t>
      </w:r>
    </w:p>
    <w:p>
      <w:pPr>
        <w:pStyle w:val="SectionHeading"/>
      </w:pPr>
      <w:r>
        <w:t>1. Research Synthesis</w:t>
      </w:r>
    </w:p>
    <w:p>
      <w:r>
        <w:t>Costco's business model continues to demonstrate remarkable consistency, with management reporting 'very consistent' comparable sales results 'in that 6% or 7%' range across multiple quarters. This consistency provides a strong foundation for forward estimates, though recent execution challenges in warehouse expansion require careful analysis of the growth trajectory.</w:t>
      </w:r>
    </w:p>
    <w:p>
      <w:r>
        <w:t>The most material development affecting forward estimates is the revision of FY26 warehouse openings from 35 to 28 locations, disclosed in the Q1 2026 call. CEO Ron Vachris attributed this to 'delays with a couple of our buildings in Spain,' providing specific geographic attribution that suggests an isolated execution issue rather than systematic expansion challenges. Importantly, management simultaneously reaffirmed long-term expansion plans, stating 'we continue to plan for 30 plus net openings per year in future years.' This dual messaging—near-term revision with long-term confidence—creates a setup where the street may be over-extrapolating the FY26 shortfall into FY27 assumptions.</w:t>
      </w:r>
    </w:p>
    <w:p>
      <w:pPr>
        <w:pStyle w:val="PullQuote"/>
      </w:pPr>
      <w:r>
        <w:t>Counter: the analyst claims Street's 7.8% FY27 revenue growth may be too conservative given management's confidence — but Management's 'confidence' is contradicted by their execution track record - they missed FY26 warehouse guidance by 20% just one quarter after setting it. Their 30+ openings promise for future years lacks credibility given current execution failures. The street may already be pricing in this execution risk.</w:t>
      </w:r>
    </w:p>
    <w:p>
      <w:pPr>
        <w:pStyle w:val="ListBullet"/>
      </w:pPr>
      <w:r>
        <w:rPr>
          <w:i/>
        </w:rPr>
        <w:t>→ Research confirms: Costco revised FY26 warehouse openings guidance from 35 to 28 locations, disclosed in Q1 2026 earnings call (December 2025). Revision attributed to construction delays in Spain. (fool.com)</w:t>
      </w:r>
    </w:p>
    <w:p>
      <w:pPr>
        <w:pStyle w:val="ListBullet"/>
      </w:pPr>
      <w:r>
        <w:rPr>
          <w:i/>
        </w:rPr>
        <w:t>→ Research confirms: CEO Ron Vachris directly attributed the reduction in planned 2026 warehouse openings from 35 to 28 to delays with buildings in Spain, confirming the geographic attribution in the brief. (thestreet.com)</w:t>
      </w:r>
    </w:p>
    <w:p>
      <w:pPr>
        <w:pStyle w:val="ListBullet"/>
      </w:pPr>
      <w:r>
        <w:rPr>
          <w:i/>
        </w:rPr>
        <w:t>→ Research: Recent Costco insider activity shows multiple executive stock sales (Jan–Apr 2026) totaling ~$3.6M across EVPs and SVPs, with no offsetting insider purchases detected. Pattern reflects liquidity/diversification rather than confidence signals. (tipranks.com)</w:t>
      </w:r>
    </w:p>
    <w:p>
      <w:r>
        <w:t>The unit economics of new warehouse expansion continue to improve materially. Management disclosed that 'fiscal year 25 openings generating an annualized $192 million per warehouse of sales in the year of opening, that is up from $150 million for new warehouses opened just two years earlier.' This 28% improvement in new store productivity over two years suggests the expansion strategy is becoming more efficient, not less. Combined with management's comment about 'improvements in the performance of our new buildings and a reduction in their time to maturity,' the data supports confidence in the expansion program's returns.</w:t>
      </w:r>
    </w:p>
    <w:p>
      <w:pPr>
        <w:pStyle w:val="ListBullet"/>
      </w:pPr>
      <w:r>
        <w:rPr>
          <w:i/>
        </w:rPr>
        <w:t>→ Research confirms: Multiple authoritative sources directly verify the claim: fiscal 2025 new warehouse openings generated annualized $192 million per location in year one, up from $150 million two years prior (fiscal 2023 openings). (nasdaq.com)</w:t>
      </w:r>
    </w:p>
    <w:p>
      <w:pPr>
        <w:pStyle w:val="ListBullet"/>
      </w:pPr>
      <w:r>
        <w:rPr>
          <w:i/>
        </w:rPr>
        <w:t>→ Research: Competitors BJ's Wholesale and Sam's Club are executing aggressive expansion plans in 2026. BJ's plans 25-30 new clubs over 2025-2026 with entry into Texas; Sam's Club plans 15 new clubs annually and remodeling of ~600 locations. These initiatives directly compete with Costco's 28-30 new warehouse strategy and could pressure market share assumptions. (thestreet.com)</w:t>
      </w:r>
    </w:p>
    <w:p>
      <w:r>
        <w:t>Digital momentum provides another growth vector that may be underappreciated by consensus. The company introduced a new 'digitally enabled comparable sales' metric in Q4 2025, which 'incorporates all sales that originated online, including our same-day delivery service fulfilled by Instacart, Uber Eats, and DoorDash.' This metric showed 22.6% growth in Q2 2026, with management noting that 'site traffic in the quarter was up 32% and app traffic was up 45%.' The digital channel now represents over $27 billion annually, suggesting meaningful contribution to overall growth that may not be fully captured in traditional comparable sales modeling.</w:t>
      </w:r>
    </w:p>
    <w:p>
      <w:pPr>
        <w:pStyle w:val="ListBullet"/>
      </w:pPr>
      <w:r>
        <w:rPr>
          <w:i/>
        </w:rPr>
        <w:t>→ Research confirms: Costco's fiscal 2025 digitally enabled sales reached over $27 billion, directly confirming the claim. This includes e-commerce ($19.6B) plus same-day delivery and other digital channels. (nationalcioreview.com)</w:t>
      </w:r>
    </w:p>
    <w:p>
      <w:r>
        <w:t>Membership fee income continues to provide a stable, high-margin revenue stream with consistent double-digit growth. Q2 2026 membership fee income of $1.355 billion represented 13.6% year-over-year growth, while Q1 2026 showed 11.4% growth based on available metrics. Management noted 'executive members per week grew at an accelerated pace from 4Q to 1Q,' suggesting the premium membership tier is gaining traction. This recurring revenue base provides earnings stability and supports the company's ability to maintain low merchandise margins while investing in price competitiveness.</w:t>
      </w:r>
    </w:p>
    <w:p>
      <w:pPr>
        <w:pStyle w:val="ListBullet"/>
      </w:pPr>
      <w:r>
        <w:rPr>
          <w:i/>
        </w:rPr>
        <w:t>→ Research confirms: Costco's official Q2 FY2026 earnings call transcript directly confirms membership fee income of $1.355 billion with 13.6% year-over-year growth, matching the verbatim claim exactly. (yahoo.com)</w:t>
      </w:r>
    </w:p>
    <w:p>
      <w:r>
        <w:t>The traffic and transaction trends underlying comparable sales growth remain healthy. Q2 2026 showed traffic growth of 3.1% worldwide with average transaction up 4.2% (3.5% excluding gas and FX impacts). Management's commentary suggests member behavior remains resilient: 'when you deliver on those things, we're seeing members are willing to and have the capacity to spend.' The consistency of these metrics across quarters—traffic consistently in the 3% range, transactions up mid-single digits—supports the sustainability of the 6-7% comparable sales trajectory.</w:t>
      </w:r>
    </w:p>
    <w:p>
      <w:r>
        <w:t>However, some operational headwinds merit attention. Management disclosed specific weather-related disruptions in Q2 2026: 'we had 55 warehouses that were closed for a full day and then took a couple of days for the local communities to get back up to sort of speed' due to Northeast weather. While management characterized this as not having 'a major impact,' the specificity of the disclosure (55 warehouses, full-day closures) suggests material operational disruption that could affect quarterly patterns.</w:t>
      </w:r>
    </w:p>
    <w:p>
      <w:r>
        <w:t>The guidance framework provides additional confidence in the forward trajectory. Management has maintained consistent language about comparable sales performance, using identical phrasing across quarters: 'very consistent in that sort of 6% to 7% comp sales range' in Q1 2026 and 'very consistent in that 6% or 7%' in Q2 2026. This linguistic consistency, combined with the actual performance delivery, suggests management has good visibility into the business trajectory and is not seeing material deceleration in underlying trends.</w:t>
      </w:r>
    </w:p>
    <w:p>
      <w:r>
        <w:t>Capital allocation priorities remain focused on growth investment rather than financial engineering. Management noted that 'capital expenditure grew significantly faster than sales for the first time actually for a while' in FY25, driven by 'the number of warehouses that we're looking to open in 2026, the remodel work that we're doing, preparing the depots for the e-commerce expansion.' This growth-oriented capital deployment, combined with the improving unit economics of new stores, supports the thesis that management sees attractive reinvestment opportunities.</w:t>
      </w:r>
    </w:p>
    <w:p>
      <w:r>
        <w:t>The synthesis of these factors suggests consensus FY26 revenue estimates of $299B appear reasonable given the revised warehouse opening plan, but FY27 estimates of $322B (7.8% growth) may prove conservative if management successfully returns to the 30+ opening cadence with improved store productivity. The key variable is whether the Spain-related delays represent an isolated execution issue or signal broader expansion challenges—management's confident reaffirmation of long-term opening targets suggests the former.</w:t>
      </w:r>
    </w:p>
    <w:p>
      <w:pPr>
        <w:pStyle w:val="ListBullet"/>
      </w:pPr>
      <w:r>
        <w:rPr>
          <w:i/>
        </w:rPr>
        <w:t>→ Research [CONTRADICTS]: Consensus FY26 revenue estimates are $305B (not $299B). FY27 estimates unavailable in search results; WallStreetZen data appears corrupted/unreliable. The $299B figure materially understates analyst expectations. (stocksguide.com)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$4.91</w:t>
            </w:r>
          </w:p>
        </w:tc>
        <w:tc>
          <w:tcPr>
            <w:tcW w:type="dxa" w:w="3264"/>
            <w:tcBorders>
              <w:top w:val="single" w:sz="4" w:color="BDC3C7"/>
              <w:bottom w:val="single" w:sz="4" w:color="BDC3C7"/>
              <w:left w:val="single" w:sz="4" w:color="BDC3C7"/>
              <w:right w:val="single" w:sz="4" w:color="BDC3C7"/>
            </w:tcBorders>
          </w:tcPr>
          <w:p>
            <w:r>
              <w:t>$68,990M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$6.50</w:t>
            </w:r>
          </w:p>
        </w:tc>
        <w:tc>
          <w:tcPr>
            <w:tcW w:type="dxa" w:w="3264"/>
            <w:tcBorders>
              <w:top w:val="single" w:sz="4" w:color="BDC3C7"/>
              <w:bottom w:val="single" w:sz="4" w:color="BDC3C7"/>
              <w:left w:val="single" w:sz="4" w:color="BDC3C7"/>
              <w:right w:val="single" w:sz="4" w:color="BDC3C7"/>
            </w:tcBorders>
          </w:tcPr>
          <w:p>
            <w:r>
              <w:t>$93,369M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$20.49</w:t>
            </w:r>
          </w:p>
        </w:tc>
        <w:tc>
          <w:tcPr>
            <w:tcW w:type="dxa" w:w="3264"/>
            <w:tcBorders>
              <w:top w:val="single" w:sz="4" w:color="BDC3C7"/>
              <w:bottom w:val="single" w:sz="4" w:color="BDC3C7"/>
              <w:left w:val="single" w:sz="4" w:color="BDC3C7"/>
              <w:right w:val="single" w:sz="4" w:color="BDC3C7"/>
            </w:tcBorders>
          </w:tcPr>
          <w:p>
            <w:r>
              <w:t>$299,072M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$22.55</w:t>
            </w:r>
          </w:p>
        </w:tc>
        <w:tc>
          <w:tcPr>
            <w:tcW w:type="dxa" w:w="3264"/>
            <w:tcBorders>
              <w:top w:val="single" w:sz="4" w:color="BDC3C7"/>
              <w:bottom w:val="single" w:sz="4" w:color="BDC3C7"/>
              <w:left w:val="single" w:sz="4" w:color="BDC3C7"/>
              <w:right w:val="single" w:sz="4" w:color="BDC3C7"/>
            </w:tcBorders>
          </w:tcPr>
          <w:p>
            <w:r>
              <w:t>$322,412M</w:t>
            </w:r>
          </w:p>
        </w:tc>
      </w:tr>
    </w:tbl>
    <w:p>
      <w:pPr>
        <w:pStyle w:val="SubHeading"/>
      </w:pPr>
      <w:r>
        <w:t>Management guidance:</w:t>
      </w:r>
    </w:p>
    <w:p>
      <w:pPr>
        <w:pStyle w:val="ListBullet"/>
      </w:pPr>
      <w:r>
        <w:t>Units (FY2026): revising our plan net new openings for fiscal year 26 down to 28  — Q1 2026, call, CEO</w:t>
      </w:r>
    </w:p>
    <w:p>
      <w:pPr>
        <w:pStyle w:val="ListBullet"/>
      </w:pPr>
      <w:r>
        <w:t>Units (long-term): we continue to plan for 30 plus net openings per year in future years  — Q1 2026, call, CEO</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+8.40%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comparable_sales_growth</w:t>
            </w:r>
          </w:p>
        </w:tc>
        <w:tc>
          <w:tcPr>
            <w:tcW w:type="dxa" w:w="2448"/>
            <w:tcBorders>
              <w:top w:val="single" w:sz="4" w:color="BDC3C7"/>
              <w:bottom w:val="single" w:sz="4" w:color="BDC3C7"/>
              <w:left w:val="single" w:sz="4" w:color="BDC3C7"/>
              <w:right w:val="single" w:sz="4" w:color="BDC3C7"/>
            </w:tcBorders>
          </w:tcPr>
          <w:p>
            <w:r>
              <w:t>+6.50%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Management has consistently described performance as 'very consistent in that 6% or 7%' range across Q1 and Q2 2026 calls. Q2 2026 actual comparable sales were 7.4% (6.7% adjusted for gas deflation and FX), while Q1 2026</w:t>
            </w:r>
          </w:p>
        </w:tc>
      </w:tr>
      <w:tr>
        <w:tc>
          <w:tcPr>
            <w:tcW w:type="dxa" w:w="2448"/>
            <w:tcBorders>
              <w:top w:val="single" w:sz="4" w:color="BDC3C7"/>
              <w:bottom w:val="single" w:sz="4" w:color="BDC3C7"/>
              <w:left w:val="single" w:sz="4" w:color="BDC3C7"/>
              <w:right w:val="single" w:sz="4" w:color="BDC3C7"/>
            </w:tcBorders>
          </w:tcPr>
          <w:p>
            <w:r>
              <w:t xml:space="preserve">    new_store_contribution</w:t>
            </w:r>
          </w:p>
        </w:tc>
        <w:tc>
          <w:tcPr>
            <w:tcW w:type="dxa" w:w="2448"/>
            <w:tcBorders>
              <w:top w:val="single" w:sz="4" w:color="BDC3C7"/>
              <w:bottom w:val="single" w:sz="4" w:color="BDC3C7"/>
              <w:left w:val="single" w:sz="4" w:color="BDC3C7"/>
              <w:right w:val="single" w:sz="4" w:color="BDC3C7"/>
            </w:tcBorders>
          </w:tcPr>
          <w:p>
            <w:r>
              <w:t>+1.20%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With 28 net new openings planned for FY26 and return to 30+ in FY27, new stores should contribute approximately 1.5-2.0% to total revenue growth. Management noted new stores are 'generating an annualized $192 million per</w:t>
            </w:r>
          </w:p>
        </w:tc>
      </w:tr>
      <w:tr>
        <w:tc>
          <w:tcPr>
            <w:tcW w:type="dxa" w:w="2448"/>
            <w:tcBorders>
              <w:top w:val="single" w:sz="4" w:color="BDC3C7"/>
              <w:bottom w:val="single" w:sz="4" w:color="BDC3C7"/>
              <w:left w:val="single" w:sz="4" w:color="BDC3C7"/>
              <w:right w:val="single" w:sz="4" w:color="BDC3C7"/>
            </w:tcBorders>
          </w:tcPr>
          <w:p>
            <w:r>
              <w:t xml:space="preserve">    digital_acceleration</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Digitally enabled sales exceeded $27 billion in FY25 and grew 22.6% in Q2 2026, with site traffic up 32% and app traffic up 45%. As digital becomes a larger portion of total sales (approaching 10% of total revenue), this</w:t>
            </w:r>
          </w:p>
        </w:tc>
      </w:tr>
    </w:tbl>
    <w:p>
      <w:pPr>
        <w:pStyle w:val="SubHeading"/>
      </w:pPr>
      <w:r>
        <w:t>Bear revisions:</w:t>
      </w:r>
    </w:p>
    <w:p>
      <w:pPr>
        <w:pStyle w:val="ListBullet"/>
      </w:pPr>
      <w:r>
        <w:t>revenue_growth.new_store_contribution: 1.8 → 1.2 — If Spain delays signal broader international expansion challenges or if real estate constraints limit the return to 30+ openings, new store contribution could be materially lower than the productivity improvements suggest.</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PullQuote"/>
      </w:pPr>
      <w:r>
        <w:t>Counter: the analyst claims 6.5% comparable sales growth assumption supported by historical consistency — but The macro environment has deteriorated significantly: savings rates collapsed -29.4% YoY, consumer sentiment down -6.5%, unemployment rising +2.4%. Costco's historical comp growth occurred in different macro conditions. The 6.5% assumption ignores this structural shift in consumer capacity.</w:t>
      </w:r>
    </w:p>
    <w:p>
      <w:pPr>
        <w:pStyle w:val="SectionHeading"/>
      </w:pPr>
      <w:r>
        <w:t>3. Consensus Gap &amp; Valuation</w:t>
      </w:r>
    </w:p>
    <w:p>
      <w:r>
        <w:t>Our EPS: $20.49  =  baseline $20.49  +  Σ claim impacts $+0.00 (0.0% below consensus $20.49)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$20.49</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$20.49</w:t>
            </w:r>
          </w:p>
        </w:tc>
      </w:tr>
    </w:tbl>
    <w:p>
      <w:pPr>
        <w:pStyle w:val="PullQuote"/>
      </w:pPr>
      <w:r>
        <w:t xml:space="preserve">  ⚠ No edge claims; our EPS matches baseline (consensus).</w:t>
      </w:r>
    </w:p>
    <w:p>
      <w:r>
        <w:t>Our estimate is $0.00 (0.0%) below consensus $20.49. Primary driver: revenue_growth.comparable_sales_growth (ours +6.5 vs street +5.2, contributing $+1.267 to EPS variant, evidence: strong). Variant appears within market noise -- may already be priced in. Next catalyst: Next quarterly earnings report (2026-05-28 (21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revenue_growth.comparable_sales_growth</w:t>
            </w:r>
          </w:p>
        </w:tc>
        <w:tc>
          <w:tcPr>
            <w:tcW w:type="dxa" w:w="1958"/>
            <w:tcBorders>
              <w:top w:val="single" w:sz="4" w:color="BDC3C7"/>
              <w:bottom w:val="single" w:sz="4" w:color="BDC3C7"/>
              <w:left w:val="single" w:sz="4" w:color="BDC3C7"/>
              <w:right w:val="single" w:sz="4" w:color="BDC3C7"/>
            </w:tcBorders>
          </w:tcPr>
          <w:p>
            <w:r>
              <w:t>+6.50</w:t>
            </w:r>
          </w:p>
        </w:tc>
        <w:tc>
          <w:tcPr>
            <w:tcW w:type="dxa" w:w="1958"/>
            <w:tcBorders>
              <w:top w:val="single" w:sz="4" w:color="BDC3C7"/>
              <w:bottom w:val="single" w:sz="4" w:color="BDC3C7"/>
              <w:left w:val="single" w:sz="4" w:color="BDC3C7"/>
              <w:right w:val="single" w:sz="4" w:color="BDC3C7"/>
            </w:tcBorders>
          </w:tcPr>
          <w:p>
            <w:r>
              <w:t>+5.22</w:t>
            </w:r>
          </w:p>
        </w:tc>
        <w:tc>
          <w:tcPr>
            <w:tcW w:type="dxa" w:w="1958"/>
            <w:tcBorders>
              <w:top w:val="single" w:sz="4" w:color="BDC3C7"/>
              <w:bottom w:val="single" w:sz="4" w:color="BDC3C7"/>
              <w:left w:val="single" w:sz="4" w:color="BDC3C7"/>
              <w:right w:val="single" w:sz="4" w:color="BDC3C7"/>
            </w:tcBorders>
          </w:tcPr>
          <w:p>
            <w:r>
              <w:t>+1.267</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revenue_growth.new_store_contribution</w:t>
            </w:r>
          </w:p>
        </w:tc>
        <w:tc>
          <w:tcPr>
            <w:tcW w:type="dxa" w:w="1958"/>
            <w:tcBorders>
              <w:top w:val="single" w:sz="4" w:color="BDC3C7"/>
              <w:bottom w:val="single" w:sz="4" w:color="BDC3C7"/>
              <w:left w:val="single" w:sz="4" w:color="BDC3C7"/>
              <w:right w:val="single" w:sz="4" w:color="BDC3C7"/>
            </w:tcBorders>
          </w:tcPr>
          <w:p>
            <w:r>
              <w:t>+1.20</w:t>
            </w:r>
          </w:p>
        </w:tc>
        <w:tc>
          <w:tcPr>
            <w:tcW w:type="dxa" w:w="1958"/>
            <w:tcBorders>
              <w:top w:val="single" w:sz="4" w:color="BDC3C7"/>
              <w:bottom w:val="single" w:sz="4" w:color="BDC3C7"/>
              <w:left w:val="single" w:sz="4" w:color="BDC3C7"/>
              <w:right w:val="single" w:sz="4" w:color="BDC3C7"/>
            </w:tcBorders>
          </w:tcPr>
          <w:p>
            <w:r>
              <w:t>-0.08</w:t>
            </w:r>
          </w:p>
        </w:tc>
        <w:tc>
          <w:tcPr>
            <w:tcW w:type="dxa" w:w="1958"/>
            <w:tcBorders>
              <w:top w:val="single" w:sz="4" w:color="BDC3C7"/>
              <w:bottom w:val="single" w:sz="4" w:color="BDC3C7"/>
              <w:left w:val="single" w:sz="4" w:color="BDC3C7"/>
              <w:right w:val="single" w:sz="4" w:color="BDC3C7"/>
            </w:tcBorders>
          </w:tcPr>
          <w:p>
            <w:r>
              <w:t>+1.267</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revenue_growth.digital_acceleration</w:t>
            </w:r>
          </w:p>
        </w:tc>
        <w:tc>
          <w:tcPr>
            <w:tcW w:type="dxa" w:w="1958"/>
            <w:tcBorders>
              <w:top w:val="single" w:sz="4" w:color="BDC3C7"/>
              <w:bottom w:val="single" w:sz="4" w:color="BDC3C7"/>
              <w:left w:val="single" w:sz="4" w:color="BDC3C7"/>
              <w:right w:val="single" w:sz="4" w:color="BDC3C7"/>
            </w:tcBorders>
          </w:tcPr>
          <w:p>
            <w:r>
              <w:t>+0.70</w:t>
            </w:r>
          </w:p>
        </w:tc>
        <w:tc>
          <w:tcPr>
            <w:tcW w:type="dxa" w:w="1958"/>
            <w:tcBorders>
              <w:top w:val="single" w:sz="4" w:color="BDC3C7"/>
              <w:bottom w:val="single" w:sz="4" w:color="BDC3C7"/>
              <w:left w:val="single" w:sz="4" w:color="BDC3C7"/>
              <w:right w:val="single" w:sz="4" w:color="BDC3C7"/>
            </w:tcBorders>
          </w:tcPr>
          <w:p>
            <w:r>
              <w:t>-0.58</w:t>
            </w:r>
          </w:p>
        </w:tc>
        <w:tc>
          <w:tcPr>
            <w:tcW w:type="dxa" w:w="1958"/>
            <w:tcBorders>
              <w:top w:val="single" w:sz="4" w:color="BDC3C7"/>
              <w:bottom w:val="single" w:sz="4" w:color="BDC3C7"/>
              <w:left w:val="single" w:sz="4" w:color="BDC3C7"/>
              <w:right w:val="single" w:sz="4" w:color="BDC3C7"/>
            </w:tcBorders>
          </w:tcPr>
          <w:p>
            <w:r>
              <w:t>+1.267</w:t>
            </w:r>
          </w:p>
        </w:tc>
        <w:tc>
          <w:tcPr>
            <w:tcW w:type="dxa" w:w="1958"/>
            <w:tcBorders>
              <w:top w:val="single" w:sz="4" w:color="BDC3C7"/>
              <w:bottom w:val="single" w:sz="4" w:color="BDC3C7"/>
              <w:left w:val="single" w:sz="4" w:color="BDC3C7"/>
              <w:right w:val="single" w:sz="4" w:color="BDC3C7"/>
            </w:tcBorders>
          </w:tcPr>
          <w:p>
            <w:r>
              <w:t>0.55</w:t>
            </w:r>
          </w:p>
        </w:tc>
      </w:tr>
    </w:tbl>
    <w:p>
      <w:r>
        <w:t>Priced in: likely — Variant (+0.0%) within implied move noise (1.7%)</w:t>
      </w:r>
    </w:p>
    <w:p>
      <w:r>
        <w:t>Edge verdict: NO_CLEAR_EDGE (score 0.000).</w:t>
      </w:r>
    </w:p>
    <w:p>
      <w:pPr>
        <w:pStyle w:val="PullQuote"/>
      </w:pPr>
      <w:r>
        <w:t>Counter: the analyst claims Consensus FY26 revenue of $299B appears achievable despite delays — but Math doesn't support this confidence. Q2 2026 sequential momentum (+3.4% Q/Q) needs to accelerate significantly to hit $299B annual target, but macro headwinds are intensifying and warehouse openings are 20% below plan. The analyst provides no pathway showing how this gap gets closed.</w:t>
      </w:r>
    </w:p>
    <w:p>
      <w:pPr>
        <w:pStyle w:val="SectionHeading"/>
      </w:pPr>
      <w:r>
        <w:t>4. Catalysts</w:t>
      </w:r>
    </w:p>
    <w:p>
      <w:pPr>
        <w:pStyle w:val="ListBullet"/>
      </w:pPr>
      <w:r>
        <w:t>Next quarterly earnings report (2026-05-28 (21 days)) — resolves revenue + margins + guidance; confirms or challenges</w:t>
      </w:r>
    </w:p>
    <w:p>
      <w:pPr>
        <w:pStyle w:val="ListBullet"/>
      </w:pPr>
      <w:r>
        <w:t>Resolution: Smooth execution of expansion plans supports consistent growth (Resolves at earnings (2026-05-28))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timeline for Spain warehouse delays resolution (Unknown timing) — resolves multiple; resolves uncertainty</w:t>
      </w:r>
    </w:p>
    <w:p>
      <w:pPr>
        <w:pStyle w:val="ListBullet"/>
      </w:pPr>
      <w:r>
        <w:t>Breakdown of digital sales growth between delivery services vs. direct e-commerce (Unknown timing) — resolves multiple; resolves uncertainty</w:t>
      </w:r>
    </w:p>
    <w:p>
      <w:pPr>
        <w:pStyle w:val="SectionHeading"/>
      </w:pPr>
      <w:r>
        <w:t>5. Risks, Blind Spots &amp; Kill Criteria</w:t>
      </w:r>
    </w:p>
    <w:p>
      <w:pPr>
        <w:pStyle w:val="SubHeading"/>
      </w:pPr>
      <w:r>
        <w:t>Top risks:</w:t>
      </w:r>
    </w:p>
    <w:p>
      <w:pPr>
        <w:pStyle w:val="ListBullet"/>
      </w:pPr>
      <w:r>
        <w:t>Street's 7.8% FY27 revenue growth may be too conservative given management's confidence in returning to 30+ openings — counter: Management already missed their FY26 warehouse guidance (35 → 28 openings) early in Q1 due to 'delays with buildings in Spain.' This execution miss undermines confidence in their ability to deliver 30+ openings in FY27. Source: transcripts guidance_tracker shows credibility pattern of early revision. [serious]</w:t>
      </w:r>
    </w:p>
    <w:p>
      <w:pPr>
        <w:pStyle w:val="ListBullet"/>
      </w:pPr>
      <w:r>
        <w:t>Smooth execution of expansion plans supports consistent growth — counter: Management revised FY26 warehouse openings down from 35 to 28 due to 'delays with a couple of our buildings in Spain' and disclosed weather-related closure of 55 warehouses for a full day in Q2 2026, suggesting operational execution challenges. [moderate]</w:t>
      </w:r>
    </w:p>
    <w:p>
      <w:pPr>
        <w:pStyle w:val="ListBullet2"/>
      </w:pPr>
      <w:r>
        <w:rPr>
          <w:i/>
        </w:rPr>
        <w:t>→ Research confirms: Costco Q2 2026 earnings call directly confirms 55 warehouses closed for a full day due to Northeast weather, with recovery taking a couple of days for local communities. (fool.com)</w:t>
      </w:r>
    </w:p>
    <w:p>
      <w:pPr>
        <w:pStyle w:val="ListBullet"/>
      </w:pPr>
      <w:r>
        <w:t>Analyst blind spot — counter: Macro headwinds are intensifying: Personal savings rate crashed -29.4% YoY to 3.6%, consumer sentiment down -6.5% YoY to 53.3, and unemployment up +2.4% YoY to 4.3%. These suggest the consumer is weakening precisely when Costco needs strong comp growth to offset warehouse opening shortfalls. [moderate]</w:t>
      </w:r>
    </w:p>
    <w:p>
      <w:pPr>
        <w:pStyle w:val="SubHeading"/>
      </w:pPr>
      <w:r>
        <w:t>Blind spots (auditor-independent):</w:t>
      </w:r>
    </w:p>
    <w:p>
      <w:pPr>
        <w:pStyle w:val="ListBullet"/>
      </w:pPr>
      <w:r>
        <w:t>Macro headwinds are intensifying: Personal savings rate crashed -29.4% YoY to 3.6%, consumer sentiment down -6.5% YoY to 53.3, and unemployment up +2.4% YoY to 4.3%. These suggest the consumer is weakening precisely when Costco needs strong comp growth to offset warehouse opening shortfalls.</w:t>
      </w:r>
    </w:p>
    <w:p>
      <w:pPr>
        <w:pStyle w:val="ListBullet"/>
      </w:pPr>
      <w:r>
        <w:t>International expansion risk concentration: The Spain delays that caused the guidance miss highlight execution challenges in newer international markets, but the analyst doesn't address what percentage of future growth depends on these higher-risk geographies.</w:t>
      </w:r>
    </w:p>
    <w:p>
      <w:pPr>
        <w:pStyle w:val="ListBullet"/>
      </w:pPr>
      <w:r>
        <w:t>Membership fee pricing power limits: With consumer sentiment at 53.3 and savings rates collapsing, Costco's ability to raise membership fees (their key profit driver) may be constrained just when they need it most to offset revenue shortfalls.</w:t>
      </w:r>
    </w:p>
    <w:p>
      <w:pPr>
        <w:pStyle w:val="KillCriteria"/>
      </w:pPr>
      <w:r>
        <w:t>What would change our mind: Print on revenue_growth.comparable_sales_growth comes in below our +6.5 figure (toward street +5.2) in the next 1-2 prints.</w:t>
      </w:r>
    </w:p>
    <w:p>
      <w:pPr>
        <w:pStyle w:val="SectionHeading"/>
      </w:pPr>
      <w:r>
        <w:t>Appendix</w:t>
      </w:r>
    </w:p>
    <w:p>
      <w:pPr>
        <w:pStyle w:val="SubHeading"/>
      </w:pPr>
      <w:r>
        <w:t>Business context:</w:t>
      </w:r>
    </w:p>
    <w:p>
      <w:r>
        <w:t>Costco operates membership-based warehouse clubs selling bulk merchandise at low margins while generating profits primarily from membership fees. The company operates 928 warehouses globally and generates revenue through merchandise sales (~$270B annually) and membership fee income (~$1.3-1.7B per quarter).</w:t>
      </w:r>
    </w:p>
    <w:p>
      <w:pPr>
        <w:pStyle w:val="SubHeading"/>
      </w:pPr>
      <w:r>
        <w:t>Evidence gaps (research TODO):</w:t>
      </w:r>
    </w:p>
    <w:p>
      <w:pPr>
        <w:pStyle w:val="ListBullet"/>
      </w:pPr>
      <w:r>
        <w:t>Specific timeline for Spain warehouse delays resolution</w:t>
      </w:r>
    </w:p>
    <w:p>
      <w:pPr>
        <w:pStyle w:val="ListBullet"/>
      </w:pPr>
      <w:r>
        <w:t>Breakdown of digital sales growth between delivery services vs. direct e-commerce</w:t>
      </w:r>
    </w:p>
    <w:p>
      <w:pPr>
        <w:pStyle w:val="ListBullet"/>
      </w:pPr>
      <w:r>
        <w:t>Quantified impact of weather disruptions on Q2 2026 traffic patterns</w:t>
      </w:r>
    </w:p>
    <w:p>
      <w:pPr>
        <w:pStyle w:val="ListBullet"/>
      </w:pPr>
      <w:r>
        <w:t>Details on membership fee increase timing and magnitude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