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EAT — EAT</w:t>
      </w:r>
    </w:p>
    <w:p>
      <w:pPr>
        <w:pStyle w:val="SmallMeta"/>
      </w:pPr>
      <w:r>
        <w:t>As of 2026-06-22  |  Schema: restaurant  |  Data: polygon+alpha_vantage (FY2025)</w:t>
      </w:r>
    </w:p>
    <w:p>
      <w:pPr>
        <w:pStyle w:val="SubHeading"/>
      </w:pPr>
      <w:r>
        <w:rPr>
          <w:color w:val="8C1D40"/>
        </w:rPr>
        <w:t>Direction: SHORT | Current: $164.46</w:t>
      </w:r>
    </w:p>
    <w:p>
      <w:pPr>
        <w:pStyle w:val="SubHeading"/>
      </w:pPr>
      <w:r>
        <w:t>Summary</w:t>
      </w:r>
    </w:p>
    <w:p>
      <w:pPr>
        <w:pStyle w:val="ListBullet"/>
      </w:pPr>
      <w:r>
        <w:t>Thesis: Consensus FY2027 EPS of $12.48 embeds ~16% growth on top of FY2026's ~$10.76, implying continued margin expansion and mid-single-digit SSS — but the cost bridge data from Q3 FY2026 reveals structural non-labor cost inflation (R&amp;M +30bps, delivery/to-go +30bps, rent +20bps) that is NOT leverage-sensitive and will persist into FY2027, while commodity PPI running +13.1% YoY creates a food cost headwind management's 'low single digit' commodity guide may understate. Simultaneously, the share count tailwind from aggressive buybacks ($300M+ in FY2026) is already embedded in consensus, meaning the EPS bridge in FY2027 relies more heavily on operating income growth than the street's top-down model implies.</w:t>
      </w:r>
    </w:p>
    <w:p>
      <w:pPr>
        <w:pStyle w:val="ListBullet"/>
      </w:pPr>
      <w:r>
        <w:t>Next catalyst: Next quarterly earnings report (2026-04-29 (1 days))</w:t>
      </w:r>
    </w:p>
    <w:p>
      <w:pPr>
        <w:pStyle w:val="ListBullet"/>
      </w:pPr>
      <w:r>
        <w:t xml:space="preserve">Top risk: Bull case assumes 30-40bps of restaurant operating margin expansion in FY2027, consistent with management's stated target and the operating </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$3.09</w:t>
            </w:r>
          </w:p>
        </w:tc>
        <w:tc>
          <w:tcPr>
            <w:tcW w:type="dxa" w:w="1399"/>
            <w:tcBorders>
              <w:top w:val="single" w:sz="4" w:color="BDC3C7"/>
              <w:bottom w:val="single" w:sz="4" w:color="BDC3C7"/>
              <w:left w:val="single" w:sz="4" w:color="BDC3C7"/>
              <w:right w:val="single" w:sz="4" w:color="BDC3C7"/>
            </w:tcBorders>
          </w:tcPr>
          <w:p>
            <w:r>
              <w:t>$2.96 – $3.19</w:t>
            </w:r>
          </w:p>
        </w:tc>
        <w:tc>
          <w:tcPr>
            <w:tcW w:type="dxa" w:w="1399"/>
            <w:tcBorders>
              <w:top w:val="single" w:sz="4" w:color="BDC3C7"/>
              <w:bottom w:val="single" w:sz="4" w:color="BDC3C7"/>
              <w:left w:val="single" w:sz="4" w:color="BDC3C7"/>
              <w:right w:val="single" w:sz="4" w:color="BDC3C7"/>
            </w:tcBorders>
          </w:tcPr>
          <w:p>
            <w:r>
              <w:t>20</w:t>
            </w:r>
          </w:p>
        </w:tc>
        <w:tc>
          <w:tcPr>
            <w:tcW w:type="dxa" w:w="1399"/>
            <w:tcBorders>
              <w:top w:val="single" w:sz="4" w:color="BDC3C7"/>
              <w:bottom w:val="single" w:sz="4" w:color="BDC3C7"/>
              <w:left w:val="single" w:sz="4" w:color="BDC3C7"/>
              <w:right w:val="single" w:sz="4" w:color="BDC3C7"/>
            </w:tcBorders>
          </w:tcPr>
          <w:p>
            <w:r>
              <w:t>+24.0%</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↑12 / ↓6</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$2.23</w:t>
            </w:r>
          </w:p>
        </w:tc>
        <w:tc>
          <w:tcPr>
            <w:tcW w:type="dxa" w:w="1399"/>
            <w:tcBorders>
              <w:top w:val="single" w:sz="4" w:color="BDC3C7"/>
              <w:bottom w:val="single" w:sz="4" w:color="BDC3C7"/>
              <w:left w:val="single" w:sz="4" w:color="BDC3C7"/>
              <w:right w:val="single" w:sz="4" w:color="BDC3C7"/>
            </w:tcBorders>
          </w:tcPr>
          <w:p>
            <w:r>
              <w:t>$2.05 – $2.48</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+15.7%</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↑5 / ↓3</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$10.76</w:t>
            </w:r>
          </w:p>
        </w:tc>
        <w:tc>
          <w:tcPr>
            <w:tcW w:type="dxa" w:w="1399"/>
            <w:tcBorders>
              <w:top w:val="single" w:sz="4" w:color="BDC3C7"/>
              <w:bottom w:val="single" w:sz="4" w:color="BDC3C7"/>
              <w:left w:val="single" w:sz="4" w:color="BDC3C7"/>
              <w:right w:val="single" w:sz="4" w:color="BDC3C7"/>
            </w:tcBorders>
          </w:tcPr>
          <w:p>
            <w:r>
              <w:t>$10.66 – $10.86</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+20.9%</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↑15 / ↓3</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$12.48</w:t>
            </w:r>
          </w:p>
        </w:tc>
        <w:tc>
          <w:tcPr>
            <w:tcW w:type="dxa" w:w="1399"/>
            <w:tcBorders>
              <w:top w:val="single" w:sz="4" w:color="BDC3C7"/>
              <w:bottom w:val="single" w:sz="4" w:color="BDC3C7"/>
              <w:left w:val="single" w:sz="4" w:color="BDC3C7"/>
              <w:right w:val="single" w:sz="4" w:color="BDC3C7"/>
            </w:tcBorders>
          </w:tcPr>
          <w:p>
            <w:r>
              <w:t>$11.84 – $12.92</w:t>
            </w:r>
          </w:p>
        </w:tc>
        <w:tc>
          <w:tcPr>
            <w:tcW w:type="dxa" w:w="1399"/>
            <w:tcBorders>
              <w:top w:val="single" w:sz="4" w:color="BDC3C7"/>
              <w:bottom w:val="single" w:sz="4" w:color="BDC3C7"/>
              <w:left w:val="single" w:sz="4" w:color="BDC3C7"/>
              <w:right w:val="single" w:sz="4" w:color="BDC3C7"/>
            </w:tcBorders>
          </w:tcPr>
          <w:p>
            <w:r>
              <w:t>21</w:t>
            </w:r>
          </w:p>
        </w:tc>
        <w:tc>
          <w:tcPr>
            <w:tcW w:type="dxa" w:w="1399"/>
            <w:tcBorders>
              <w:top w:val="single" w:sz="4" w:color="BDC3C7"/>
              <w:bottom w:val="single" w:sz="4" w:color="BDC3C7"/>
              <w:left w:val="single" w:sz="4" w:color="BDC3C7"/>
              <w:right w:val="single" w:sz="4" w:color="BDC3C7"/>
            </w:tcBorders>
          </w:tcPr>
          <w:p>
            <w:r>
              <w:t>+15.9%</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↑15 / ↓2</w:t>
            </w:r>
          </w:p>
        </w:tc>
      </w:tr>
    </w:tbl>
    <w:p>
      <w:r>
        <w:t>Revenue consensus: Q $1.54B (+5.1%)  |  Q+1 $1.40B (+4.1%)  |  FY $5.81B (+7.9%)  |  FY+1 $6.15B (+5.8%)</w:t>
      </w:r>
    </w:p>
    <w:p>
      <w:r>
        <w:t>Price targets: Mean $184.90  |  Median $186.50  |  Range $160.00–$210.00  |  Current $164.46 (+12.4% to mean)</w:t>
      </w:r>
    </w:p>
    <w:p>
      <w:r>
        <w:t>Analyst ratings (n=21): Strong Buy 3 · Buy 13 · Hold 5 · Sell 0 · Strong Sell 0  ·  76% bullish</w:t>
      </w:r>
    </w:p>
    <w:p>
      <w:r>
        <w:t>Next earnings: 2026-04-29 (-54d out)  ·  EPS $3.09 ($2.96–$3.19)  ·  Rev $1.54B</w:t>
      </w:r>
    </w:p>
    <w:p>
      <w:pPr>
        <w:pStyle w:val="SectionHeading"/>
      </w:pPr>
      <w:r>
        <w:t>1. Research Synthesis</w:t>
      </w:r>
    </w:p>
    <w:p>
      <w:r>
        <w:t>Brinker International's Chili's brand has executed one of the most impressive casual dining turnarounds in recent memory — from a $0.84 adjusted EPS quarter in Q1 FY2025 to a $2.87 adjusted EPS in Q3 FY2026, a ~242% improvement in two years driven by the combination of 20 consecutive quarters of SSS growth, AUV approaching $5M per unit, and restaurant-level margin expansion from ~11% to ~18%. The question for institutional investors today is not whether the turnaround happened — it clearly did — but whether the consensus FY2027 EPS estimate of $12.48 (+15.9% YoY from FY2026's $10.76) is achievable given the structural cost pressures now visible in the granular cost bridge data, the comp difficulty of lapping two-year stacks in the 35-40% range, and the moderating pricing environment.</w:t>
      </w:r>
    </w:p>
    <w:p>
      <w:pPr>
        <w:pStyle w:val="ListBullet"/>
      </w:pPr>
      <w:r>
        <w:rPr>
          <w:i/>
        </w:rPr>
        <w:t>→ Research [UPDATES]: Q3 FY2026 adjusted EPS was $2.90, not $2.87 as claimed. Q1 FY2025 GAAP EPS was $0.84, but adjusted EPS was $0.95. Using correct adjusted figures ($0.95 to $2.90) yields ~205% improvement, not 242%. (gurufocus.com)</w:t>
      </w:r>
    </w:p>
    <w:p>
      <w:r>
        <w:t>Beginning with the SSS trajectory, the sequential deceleration from Q1 FY2026 (+21.4%) to Q2 FY2026 (+8.6%) to Q3 FY2026 (+4.0%) is the most visible data point in the corpus. The critical discipline here is to compare this sequential pattern against the prior-year same-period sequential to determine whether this is seasonal-normal or a real break. Q1 FY2025 Chili's SSS was +14.1%, Q2 FY2025 was +31.4%, Q3 FY2025 was +31.6% — so the FY2026 deceleration is entirely a function of lapping the extraordinary FY2025 acceleration, not a deterioration in underlying demand. The two-year cumulative comp through Q3 FY2026 is approximately 35.6% (4.0% + 31.6%), which is actually stronger than the Q1 FY2026 two-year stack of 35.5% (21.4% + 14.1%). On this basis, the underlying business is holding its gains. Management's April 2026 commentary that 'outperformance versus the industry is accelerating, from 320 basis points better in February to 550 points in March, and now 560 points month to date through April' provides real-time confirmation that the comp trajectory is not deteriorating on an industry-relative basis. For Q4 FY2026, management guided mid-single-digit SSS, and the current quarter consensus of $1,536M revenue (+5.1% YoY) is consistent with that guide. The Q4 FY2025 Chili's SSS was +23.7%, so Q4 FY2026 lapping that creates a two-year stack of approximately 28-29% if mid-single-digit materializes — still robust but the easiest comp of the year is now behind them.</w:t>
      </w:r>
    </w:p>
    <w:p>
      <w:pPr>
        <w:pStyle w:val="ListBullet"/>
      </w:pPr>
      <w:r>
        <w:rPr>
          <w:i/>
        </w:rPr>
        <w:t>→ Research confirms: SEC filings and earnings releases directly confirm all three SSS figures: Q1 FY2025 +14.1%, Q2 FY2025 +31.4%, Q3 FY2025 +31.6%. These are the core comps that drive the two-year stack deceleration narrative. (nrn.com)</w:t>
      </w:r>
    </w:p>
    <w:p>
      <w:r>
        <w:t>The more interesting analytical question — and the one where we believe consensus has a blind spot — is the FY2027 margin trajectory. Management guided on the Q3 FY2026 call to 30-40bps of restaurant operating margin expansion for FY2026 as a whole, and CFO Micah Ware expressed confidence in that target. But the Q3 FY2026 cost bridge data (deck pp.5-7) reveals a structural problem that will compound into FY2027. The restaurant expense bridge shows: R&amp;M +30bps, delivery/to-go +30bps, rent +20bps, other +20bps, partially offset by leverage -50bps, for a net +50bps headwind. Critically, three of the four cost pressures (R&amp;M, delivery/to-go, rent) are structural and NOT leverage-sensitive — they will not improve proportionally with higher sales. R&amp;M is a function of restaurant age and maintenance cycle; delivery/to-go reflects the structural shift in off-premise mix; rent is contractual. Even if Chili's SSS runs at +5% in FY2027, the leverage benefit on these fixed costs is limited. The food cost bridge is equally concerning: commodity costs were +130bps headwind in Q3 FY2026, offset by only -120bps of menu price, for a net +60bps food cost inflation. With PPI running +13.1% YoY as of May 2026 (FRED data), and management's own Q3 FY2026 guidance update noting commodity inflation 'in the mid-single digits' (up from 'low single digits' in Q2), the food cost pressure is accelerating, not moderating. The BLS data shows leisure and hospitality average hourly earnings up +4.0% YoY as of May 2026, while food-away-from-home CPI is only +3.5% — meaning labor cost inflation is outpacing the industry's pricing power, creating a structural margin squeeze.</w:t>
      </w:r>
    </w:p>
    <w:p>
      <w:r>
        <w:t>To quantify the FY2027 margin impact: if restaurant expense structural costs (R&amp;M, delivery/to-go, rent) continue to inflate at +80bps gross with only -50bps leverage offset (assuming ~5% SSS), the net restaurant expense headwind is approximately +30bps. If food costs remain elevated with commodity PPI at double-digit levels and menu price contribution moderating to ~3-4% (as the company maintains its $3-4 below-competition value positioning), food cost could add another +30-50bps headwind. Against management's stated 30-40bps expansion target for FY2026, the FY2027 path to similar expansion requires either (a) significant commodity deflation, (b) accelerating SSS above mid-single-digits to generate more leverage, or (c) labor cost improvement. None of these is clearly in the consensus model. Our estimate is that FY2027 restaurant operating margin expansion is more likely to be flat to +10bps rather than the +30-40bps the street appears to embed in its $12.48 EPS estimate.</w:t>
      </w:r>
    </w:p>
    <w:p>
      <w:r>
        <w:t>On the revenue side, the FY2026 management guidance of $5.78-5.82B (midpoint $5.80B) compares to consensus of $5.808B — the street is essentially at the guide midpoint, which is appropriate given the Q3 FY2026 actual of $1.470B and the Q4 FY2026 consensus of $1,536M. Summing the four quarters: Q1 $1,349M + Q2 $1,452M + Q3 $1,470M + Q4 $1,536M = $5,807M, which is exactly at consensus and within management's guidance range. For FY2027, consensus assumes $6,145M (+5.8% YoY). This requires approximately $337M of incremental revenue, which at ~1,200 Chili's company-owned units and ~$5M AUV implies roughly 5-6% SSS plus modest unit growth (management guided 6 company-owned openings for FY2026, with international franchise growth of 24-27 units). The revenue consensus appears reasonable on its face, but the EPS bridge from $10.76 to $12.48 requires $1.72 of incremental EPS — approximately 16% growth. With ~44.7-45M diluted shares in FY2026 and continued buybacks, the share count could decline to ~42-43M in FY2027, contributing roughly $0.25-0.35 of EPS mechanically. The remaining $1.37-1.47 of EPS growth must come from operating income improvement, which requires approximately $60-65M of incremental operating income on a base of ~$512M (FY2025 actual). That is achievable if margins expand, but our analysis suggests the structural cost pressures make 30-40bps of margin expansion unlikely — more realistic is flat to +10bps, which would generate only $20-30M of incremental operating income from margin, with the remainder needing to come from revenue growth alone.</w:t>
      </w:r>
    </w:p>
    <w:p>
      <w:pPr>
        <w:pStyle w:val="ListBullet"/>
      </w:pPr>
      <w:r>
        <w:rPr>
          <w:i/>
        </w:rPr>
        <w:t>→ Research: Search confirms Brinker has active refranchising history and strategic mix-shift potential. FY2026 Q3 data shows 1,162 company-owned units (72% of total) with guidance for 27-30 net franchise unit growth, indicating material owned-vs-franchised mix volatility beyond static 6-unit assumption. (sec.gov)</w:t>
      </w:r>
    </w:p>
    <w:p>
      <w:r>
        <w:t>The insider activity pattern warrants explicit attention. In January-February 2026, CEO Kevin Hochman sold $10.58M of stock (25.2% of his pre-sale stake) at an average of $160.31, CMO George Felix sold 56.4% of his stake at $161.00, CFO Micah Ware sold 20.1% of her stake at $162.40, and COO Aaron White sold 14.1% of his stake at $165.00. This was a coordinated, broad-based insider sale across the entire C-suite at prices in the $159-167 range — approximately 10-15% above the current stock price of ~$143-146. Director Frances Allen has continued selling through May-June 2026 at $135-144. The GuruFocus data notes '23 insider sells and no buys at Brinker International over the past year.' This is not a single executive diversifying — it is the entire management team selling meaningful percentages of their stakes at prices well above current levels. The bear-read is that management, who have the best visibility into the FY2027 cost and comp trajectory, were net sellers at $160+ and the stock has since declined to $143-146. The bull-read is that these were planned sales after a massive stock appreciation (EAT went from ~$30 in 2023 to $160+ in early 2026). We note the pattern but do not treat it as dispositive — the more important signal is the cost bridge data, which is observable and quantifiable.</w:t>
      </w:r>
    </w:p>
    <w:p>
      <w:pPr>
        <w:pStyle w:val="ListBullet"/>
      </w:pPr>
      <w:r>
        <w:rPr>
          <w:i/>
        </w:rPr>
        <w:t>→ Research [UPDATES]: Kevin Hochman sold 66,000 shares for $10,580,460 at average $160.31 (confirmed); stake reduction was ~33.7%, not 25.2%. George Felix sold 10,431 shares at $161.00 (confirmed), representing 56.4% stake reduction (confirmed). (investing.com)</w:t>
      </w:r>
    </w:p>
    <w:p>
      <w:pPr>
        <w:pStyle w:val="ListBullet"/>
      </w:pPr>
      <w:r>
        <w:rPr>
          <w:i/>
        </w:rPr>
        <w:t>→ Research: Search confirms 574 institutional owners hold EAT with recent mixed activity (some hedge funds trimming, others entering). General hedge fund crowding risk literature validates the thesis that crowded trades amplify downside on negative catalysts, but no EAT-specific crowding concentration metric or turnaround-trade crowding data found. (fintel.io)</w:t>
      </w:r>
    </w:p>
    <w:p>
      <w:r>
        <w:t>On the macro backdrop, the setup for casual dining is mixed. Real disposable personal income is up +5.8% YoY (BEA, April 2026), which is a genuine tailwind for restaurant traffic. However, consumer sentiment (University of Michigan) has collapsed to 49.8 as of April 2026, down from the prior year — historically a leading indicator for discretionary spending with approximately a one-quarter lag. The personal saving rate has fallen to 2.60% (April 2026), down 52.7% YoY, suggesting consumers are already drawing down buffers. Credit card delinquency rates at 2.92% are slightly below prior year, but the combination of low savings, weak sentiment, and headline CPI at +4.2% YoY creates a consumer environment where Chili's value positioning ($3-4 below casual dining competition) is actually a relative advantage — the company is likely to continue gaining share from higher-priced casual dining peers even if absolute traffic softens. This is the bull case that the street correctly identifies. The risk is that if consumer stress intensifies, even value-positioned casual dining sees traffic declines, as occurred in 2008-2009.</w:t>
      </w:r>
    </w:p>
    <w:p>
      <w:r>
        <w:t>The institutional ownership structure is unremarkable — BlackRock (15.3%), Fidelity (15.2%), and Vanguard (11.2%) dominate, with no strategic or activist holder. The crowding score of 0/100 with only 15/47 tracked hedge funds holding the name suggests the stock is not over-owned by fast money, which is a positive setup for the thesis. Millennium Management's +$145.8M addition in Q4 2025 (a +3,725% increase) is the most notable smart-money signal, though 13F data is 45 days stale. The short interest at 19% of float is elevated and creates potential for a squeeze if Q4 FY2026 prints above consensus — but it also reflects meaningful institutional skepticism about the sustainability of the comp trajectory. The early note redemption of the 8.25% Senior Notes due 2030 (noted in the June 18, 2026 news) is a positive capital structure signal — management is using strong free cash flow to reduce high-cost debt, which will reduce net interest expense and provide a modest EPS tailwind in FY2027.</w:t>
      </w:r>
    </w:p>
    <w:p>
      <w:r>
        <w:t>Synthesizing the evidence: we are modestly below consensus on FY2027 EPS ($11.80-12.00 vs. consensus $12.48) driven by our view that restaurant operating margin expansion will be +0-10bps rather than the +30-40bps the street appears to embed, due to structural non-leverage-sensitive cost inflation in R&amp;M, delivery/to-go, and rent, compounded by commodity PPI running at +13.1% YoY. We are essentially in line with consensus on FY2026 revenue and EPS, as management's guidance is clear and the Q4 FY2026 setup (mid-single-digit SSS, consensus at $1,536M) is well-anchored. The key test is the Q4 FY2026 earnings print (expected August 2026) — if restaurant operating margin comes in below Q3's 18.4% (management guided 'similar from Q3 to Q4' on the cost structure), and if management's FY2027 initial guidance implies margin expansion below 30bps, our below-consensus FY2027 EPS view will be confirmed. The bull case that disproves our thesis: commodity deflation in H2 2026 (beef prices have been rising per management's Q2 commentary, but could reverse), or Chili's SSS accelerating above mid-single-digits on the chicken sandwich platform launch, generating enough leverage to offset the structural cost pressures.</w:t>
      </w:r>
    </w:p>
    <w:p>
      <w:pPr>
        <w:pStyle w:val="ListBullet"/>
      </w:pPr>
      <w:r>
        <w:rPr>
          <w:i/>
        </w:rPr>
        <w:t>→ Research [UPDATES]: Brinker issued notice of redemption on June 16, 2026 (not June 18 as stated in brief), with redemption occurring July 15, 2026. Redemption price is 104.125% of principal plus accrued interest. The claim's substance is confirmed but timing detail differs. (stocktitan.net)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$3.09</w:t>
            </w:r>
          </w:p>
        </w:tc>
        <w:tc>
          <w:tcPr>
            <w:tcW w:type="dxa" w:w="3264"/>
            <w:tcBorders>
              <w:top w:val="single" w:sz="4" w:color="BDC3C7"/>
              <w:bottom w:val="single" w:sz="4" w:color="BDC3C7"/>
              <w:left w:val="single" w:sz="4" w:color="BDC3C7"/>
              <w:right w:val="single" w:sz="4" w:color="BDC3C7"/>
            </w:tcBorders>
          </w:tcPr>
          <w:p>
            <w:r>
              <w:t>$1,536M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$2.23</w:t>
            </w:r>
          </w:p>
        </w:tc>
        <w:tc>
          <w:tcPr>
            <w:tcW w:type="dxa" w:w="3264"/>
            <w:tcBorders>
              <w:top w:val="single" w:sz="4" w:color="BDC3C7"/>
              <w:bottom w:val="single" w:sz="4" w:color="BDC3C7"/>
              <w:left w:val="single" w:sz="4" w:color="BDC3C7"/>
              <w:right w:val="single" w:sz="4" w:color="BDC3C7"/>
            </w:tcBorders>
          </w:tcPr>
          <w:p>
            <w:r>
              <w:t>$1,405M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$10.76</w:t>
            </w:r>
          </w:p>
        </w:tc>
        <w:tc>
          <w:tcPr>
            <w:tcW w:type="dxa" w:w="3264"/>
            <w:tcBorders>
              <w:top w:val="single" w:sz="4" w:color="BDC3C7"/>
              <w:bottom w:val="single" w:sz="4" w:color="BDC3C7"/>
              <w:left w:val="single" w:sz="4" w:color="BDC3C7"/>
              <w:right w:val="single" w:sz="4" w:color="BDC3C7"/>
            </w:tcBorders>
          </w:tcPr>
          <w:p>
            <w:r>
              <w:t>$5,808M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$12.48</w:t>
            </w:r>
          </w:p>
        </w:tc>
        <w:tc>
          <w:tcPr>
            <w:tcW w:type="dxa" w:w="3264"/>
            <w:tcBorders>
              <w:top w:val="single" w:sz="4" w:color="BDC3C7"/>
              <w:bottom w:val="single" w:sz="4" w:color="BDC3C7"/>
              <w:left w:val="single" w:sz="4" w:color="BDC3C7"/>
              <w:right w:val="single" w:sz="4" w:color="BDC3C7"/>
            </w:tcBorders>
          </w:tcPr>
          <w:p>
            <w:r>
              <w:t>$6,145M</w:t>
            </w:r>
          </w:p>
        </w:tc>
      </w:tr>
    </w:tbl>
    <w:p>
      <w:pPr>
        <w:pStyle w:val="SubHeading"/>
      </w:pPr>
      <w:r>
        <w:t>Management guidance:</w:t>
      </w:r>
    </w:p>
    <w:p>
      <w:pPr>
        <w:pStyle w:val="ListBullet"/>
      </w:pPr>
      <w:r>
        <w:t>Revenue (Q3 F26 (actual/reported)): 25.6%  — Deck p.5</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$12.48</w:t>
            </w:r>
          </w:p>
        </w:tc>
        <w:tc>
          <w:tcPr>
            <w:tcW w:type="dxa" w:w="1632"/>
            <w:tcBorders>
              <w:top w:val="single" w:sz="4" w:color="BDC3C7"/>
              <w:bottom w:val="single" w:sz="4" w:color="BDC3C7"/>
              <w:left w:val="single" w:sz="4" w:color="BDC3C7"/>
              <w:right w:val="single" w:sz="4" w:color="BDC3C7"/>
            </w:tcBorders>
          </w:tcPr>
          <w:p>
            <w:r>
              <w:t>$11.90</w:t>
            </w:r>
          </w:p>
        </w:tc>
        <w:tc>
          <w:tcPr>
            <w:tcW w:type="dxa" w:w="1632"/>
            <w:tcBorders>
              <w:top w:val="single" w:sz="4" w:color="BDC3C7"/>
              <w:bottom w:val="single" w:sz="4" w:color="BDC3C7"/>
              <w:left w:val="single" w:sz="4" w:color="BDC3C7"/>
              <w:right w:val="single" w:sz="4" w:color="BDC3C7"/>
            </w:tcBorders>
          </w:tcPr>
          <w:p>
            <w:r>
              <w:t>-0.58</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$5.8B</w:t>
            </w:r>
          </w:p>
        </w:tc>
        <w:tc>
          <w:tcPr>
            <w:tcW w:type="dxa" w:w="1632"/>
            <w:tcBorders>
              <w:top w:val="single" w:sz="4" w:color="BDC3C7"/>
              <w:bottom w:val="single" w:sz="4" w:color="BDC3C7"/>
              <w:left w:val="single" w:sz="4" w:color="BDC3C7"/>
              <w:right w:val="single" w:sz="4" w:color="BDC3C7"/>
            </w:tcBorders>
          </w:tcPr>
          <w:p>
            <w:r>
              <w:t>$5.8B</w:t>
            </w:r>
          </w:p>
        </w:tc>
        <w:tc>
          <w:tcPr>
            <w:tcW w:type="dxa" w:w="1632"/>
            <w:tcBorders>
              <w:top w:val="single" w:sz="4" w:color="BDC3C7"/>
              <w:bottom w:val="single" w:sz="4" w:color="BDC3C7"/>
              <w:left w:val="single" w:sz="4" w:color="BDC3C7"/>
              <w:right w:val="single" w:sz="4" w:color="BDC3C7"/>
            </w:tcBorders>
          </w:tcPr>
          <w:p>
            <w:r>
              <w:t>-0.08</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$6.1B</w:t>
            </w:r>
          </w:p>
        </w:tc>
        <w:tc>
          <w:tcPr>
            <w:tcW w:type="dxa" w:w="1632"/>
            <w:tcBorders>
              <w:top w:val="single" w:sz="4" w:color="BDC3C7"/>
              <w:bottom w:val="single" w:sz="4" w:color="BDC3C7"/>
              <w:left w:val="single" w:sz="4" w:color="BDC3C7"/>
              <w:right w:val="single" w:sz="4" w:color="BDC3C7"/>
            </w:tcBorders>
          </w:tcPr>
          <w:p>
            <w:r>
              <w:t>$6.0B</w:t>
            </w:r>
          </w:p>
        </w:tc>
        <w:tc>
          <w:tcPr>
            <w:tcW w:type="dxa" w:w="1632"/>
            <w:tcBorders>
              <w:top w:val="single" w:sz="4" w:color="BDC3C7"/>
              <w:bottom w:val="single" w:sz="4" w:color="BDC3C7"/>
              <w:left w:val="single" w:sz="4" w:color="BDC3C7"/>
              <w:right w:val="single" w:sz="4" w:color="BDC3C7"/>
            </w:tcBorders>
          </w:tcPr>
          <w:p>
            <w:r>
              <w:t>-0.35</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consensus_next_fy_eps</w:t>
      </w:r>
    </w:p>
    <w:p>
      <w:r>
        <w:t>Consensus FY2027 EPS of $12.48 implies ~16% growth and embeds ~30-40bps of restaurant operating margin expansion, but the Q3 FY2026 cost bridge (deck pp.5-7) reveals +80bps of structural, non-leverage-sensitive restaurant expense inflation (R&amp;M +30bps, delivery/to-go +30bps, rent +20bps) that will persist into FY2027 regardless of SSS, while commodity PPI running +13.1% YoY (FRED, May 2026) suggests food cost headwinds will widen as menu pricing moderates to maintain the $3-4 value gap versus competition. Our model implies flat to +10bps margin expansion, generating ~$11.90 FY2027 EPS versus consensus $12.48.</w:t>
      </w:r>
    </w:p>
    <w:p>
      <w:r>
        <w:t>Street anchor: $12.48 (yfinance consensus, FY2027) → Our view: $11.90</w:t>
      </w:r>
    </w:p>
    <w:p>
      <w:pPr>
        <w:pStyle w:val="PullQuote"/>
      </w:pPr>
      <w:r>
        <w:t>“Restaurant Expense Bridge Q3F25 24.1% R&amp;M +30 bps Delivery/To-Go +30 bps Rent +20 bps Other +20 bps Leverage (50 bps) Q3F26 24.6%”  (deck)</w:t>
      </w:r>
    </w:p>
    <w:p>
      <w:pPr>
        <w:pStyle w:val="PullQuote"/>
      </w:pPr>
      <w:r>
        <w:t>“Food Cost Expense Bridge Q3F25 25.0% Commodity Costs +130 bps Menu Mix +50 bps Menu Price (120 bps) Q3F26 25.6%”  (deck)</w:t>
      </w:r>
    </w:p>
    <w:p>
      <w:pPr>
        <w:pStyle w:val="PullQuote"/>
      </w:pPr>
      <w:r>
        <w:t>“we now anticipate commodity inflation inclusive of tariffs in the mid-single digits rather than the low single digits as projected last quarter”  (transcript)</w:t>
      </w:r>
    </w:p>
    <w:p>
      <w:r>
        <w:t>Why not consensus: Sell-side analysts anchor FY2027 margin expansion to management's stated 30-40bps target without decomposing the cost bridge into leverage-sensitive vs. structural components. R&amp;M, delivery/to-go, and rent are contractual or operationally fixed — they do not improve proportionally with SSS growth — but top-down models treat all restaurant expense as partially leverage-sensitive. The PPI signal (+13.1% YoY) is a macro data point that requires cross-corpus synthesis with the company's cost bridge, a step most single-name restaurant analysts skip in favor of management's commodity guidance.</w:t>
      </w:r>
    </w:p>
    <w:p>
      <w:pPr>
        <w:pStyle w:val="KillCriteria"/>
      </w:pPr>
      <w:r>
        <w:t>Falsifier: If Q4 FY2026 restaurant operating margin prints above 18.4% (Q3 level) and management's initial FY2027 guidance explicitly targets 30-40bps margin expansion with a specific commodity deflation assumption, our below-consensus EPS view is disproved.</w:t>
      </w:r>
    </w:p>
    <w:p>
      <w:pPr>
        <w:pStyle w:val="SubHeading"/>
      </w:pPr>
      <w:r>
        <w:t>Claim 2 — consensus_fy_revenue</w:t>
      </w:r>
    </w:p>
    <w:p>
      <w:r>
        <w:t>Maggiano's structural deterioration — SSS of -6.4%, -2.4%, -4.6% across Q1-Q3 FY2026 with company sales declining from $108M to $99M to $107M YoY — creates a ~$40-50M annual revenue drag that consensus appears to model as stabilizing, but management's own Q2 FY2026 commentary guided Maggiano's SSS 'in the negative mid-single-digit range for the back half of the year,' implying Q4 FY2026 Maggiano's company sales of approximately $110-115M versus $122M in Q4 FY2025, a ~$7-12M shortfall that could push full-year revenue to the low end of management's $5.78-5.82B range.</w:t>
      </w:r>
    </w:p>
    <w:p>
      <w:r>
        <w:t>Street anchor: $5.8B (yfinance consensus, FY2026) → Our view: $5.8B</w:t>
      </w:r>
    </w:p>
    <w:p>
      <w:pPr>
        <w:pStyle w:val="PullQuote"/>
      </w:pPr>
      <w:r>
        <w:t>“Maggiano's Company Sales Q1 F25 $108 Q2 F25 $149 Q3 F25 $121 Q4 F25 $122 Q1 F26 $99 Q2 F26 $135 Q3 F26 $107”  (deck)</w:t>
      </w:r>
    </w:p>
    <w:p>
      <w:pPr>
        <w:pStyle w:val="PullQuote"/>
      </w:pPr>
      <w:r>
        <w:t>“what we're expecting is their same-store sales will probably be in the negative mid-single-digit range for the back half of the year”  (transcript)</w:t>
      </w:r>
    </w:p>
    <w:p>
      <w:pPr>
        <w:pStyle w:val="PullQuote"/>
      </w:pPr>
      <w:r>
        <w:t>“Maggiano's is only 8% of our company sales and low single-digit percentage of our profit contribution”  (transcript)</w:t>
      </w:r>
    </w:p>
    <w:p>
      <w:r>
        <w:t>Why not consensus: Sell-side models typically apply a single consolidated SSS assumption to Brinker rather than modeling Chili's and Maggiano's separately with different trajectories. Maggiano's is only 8% of company sales, so analysts often treat it as rounding error — but at -4 to -6% SSS on a $500M annual revenue base, the drag is $20-30M annually, which is meaningful relative to the $14M spread between the low and high end of management's FY2026 revenue guidance range. The segment-level quarterly data in the deck makes this calculable but requires the extra step of building a two-segment model.</w:t>
      </w:r>
    </w:p>
    <w:p>
      <w:pPr>
        <w:pStyle w:val="KillCriteria"/>
      </w:pPr>
      <w:r>
        <w:t>Falsifier: If Maggiano's Q4 FY2026 SSS improves to flat or better (management cited 'sequential progress' and 'green shoots'), the revenue drag thesis is disproved and full-year revenue prints at the high end of guidance.</w:t>
      </w:r>
    </w:p>
    <w:p>
      <w:pPr>
        <w:pStyle w:val="SubHeading"/>
      </w:pPr>
      <w:r>
        <w:t>Claim 3 — consensus_next_fy_revenue</w:t>
      </w:r>
    </w:p>
    <w:p>
      <w:r>
        <w:t>Consensus FY2027 revenue of $6,145M (+5.8% YoY) requires approximately $337M of incremental revenue, implying ~5-6% SSS at Chili's plus modest unit growth — but Chili's will be lapping Q1 FY2026's +21.4% SSS in Q1 FY2027, creating a two-year stack challenge of ~26-27% that makes mid-single-digit SSS in Q1 FY2027 difficult without a significant new traffic catalyst. The chicken sandwich platform launched in April 2026 is the most likely catalyst, but management's own commentary ('we expect even bigger numbers when we launch nationally in April with advertising') has not yet been validated by a full quarter of data, and the comp difficulty in Q1 FY2027 is the hardest of the year.</w:t>
      </w:r>
    </w:p>
    <w:p>
      <w:r>
        <w:t>Street anchor: $6.1B (yfinance consensus, FY2027) → Our view: $6.0B</w:t>
      </w:r>
    </w:p>
    <w:p>
      <w:pPr>
        <w:pStyle w:val="PullQuote"/>
      </w:pPr>
      <w:r>
        <w:t>“Q1 Chili's same-store sales were plus 21.4%, outperforming the casual dining industry by 1,650 basis points”  (transcript)</w:t>
      </w:r>
    </w:p>
    <w:p>
      <w:pPr>
        <w:pStyle w:val="PullQuote"/>
      </w:pPr>
      <w:r>
        <w:t>“The sandwich lineup has done exceptionally well from a mixed standpoint in merchandising-only tests in 200 restaurants, and we expect even bigger numbers when we launch nationally in April with advertising and earned media attention”  (transcript)</w:t>
      </w:r>
    </w:p>
    <w:p>
      <w:pPr>
        <w:pStyle w:val="PullQuote"/>
      </w:pPr>
      <w:r>
        <w:t>“our outperformance versus the industry is accelerating, and we remain confident we... mid-single-digit same-store sales and mid-single-digit growth, you know, over time as we move forward”  (transcript)</w:t>
      </w:r>
    </w:p>
    <w:p>
      <w:r>
        <w:t>Why not consensus: Sell-side FY2027 revenue models are built top-down from a ~5-6% growth rate without explicitly computing the Q1 FY2027 two-year stack (21.4% + whatever Q1 FY2027 prints = ~26-27% two-year if mid-single-digit). The chicken sandwich platform is a genuine potential catalyst that could sustain mid-single-digit SSS through the difficult Q1 FY2027 lap, but it has not yet been validated at scale with advertising — analysts are giving full credit for a product that has only been tested in 200 restaurants without national advertising. If the chicken sandwich underdelivers relative to the 1099 three-for-me platform's traffic-driving power, Q1 FY2027 SSS could print below mid-single-digit, pulling full-year revenue below consensus.</w:t>
      </w:r>
    </w:p>
    <w:p>
      <w:pPr>
        <w:pStyle w:val="KillCriteria"/>
      </w:pPr>
      <w:r>
        <w:t>Falsifier: If Q4 FY2026 earnings (August 2026) include management's initial FY2027 revenue guidance at or above $6.1B, or if the chicken sandwich platform shows measurable traffic lift in Q4 FY2026 data, the below-consensus revenue view is disproved.</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Chili's Same-Store Sales Growth</w:t>
            </w:r>
          </w:p>
        </w:tc>
        <w:tc>
          <w:tcPr>
            <w:tcW w:type="dxa" w:w="2448"/>
            <w:tcBorders>
              <w:top w:val="single" w:sz="4" w:color="BDC3C7"/>
              <w:bottom w:val="single" w:sz="4" w:color="BDC3C7"/>
              <w:left w:val="single" w:sz="4" w:color="BDC3C7"/>
              <w:right w:val="single" w:sz="4" w:color="BDC3C7"/>
            </w:tcBorders>
          </w:tcPr>
          <w:p>
            <w:r>
              <w:rPr>
                <w:b/>
              </w:rPr>
              <w:t>+4.30%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In the Q3 FY2026 call, CFO Micah Ware noted Chili's traffic was -1.2% in Q3 (impacted by -2.1% from Winter Storm Fern and holiday shift), implying underlying traffic of approximately +0.9% ex-weather. February and March </w:t>
            </w:r>
          </w:p>
        </w:tc>
      </w:tr>
      <w:tr>
        <w:tc>
          <w:tcPr>
            <w:tcW w:type="dxa" w:w="2448"/>
            <w:tcBorders>
              <w:top w:val="single" w:sz="4" w:color="BDC3C7"/>
              <w:bottom w:val="single" w:sz="4" w:color="BDC3C7"/>
              <w:left w:val="single" w:sz="4" w:color="BDC3C7"/>
              <w:right w:val="single" w:sz="4" w:color="BDC3C7"/>
            </w:tcBorders>
          </w:tcPr>
          <w:p>
            <w:r>
              <w:t xml:space="preserve">    ticket_growth_price</w:t>
            </w:r>
          </w:p>
        </w:tc>
        <w:tc>
          <w:tcPr>
            <w:tcW w:type="dxa" w:w="2448"/>
            <w:tcBorders>
              <w:top w:val="single" w:sz="4" w:color="BDC3C7"/>
              <w:bottom w:val="single" w:sz="4" w:color="BDC3C7"/>
              <w:left w:val="single" w:sz="4" w:color="BDC3C7"/>
              <w:right w:val="single" w:sz="4" w:color="BDC3C7"/>
            </w:tcBorders>
          </w:tcPr>
          <w:p>
            <w:r>
              <w:t>+3.50%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Chili's has been running approximately 4-4.6% menu price contribution in recent quarters (Q3 FY2026: 4.6% price, Q2 FY2026: 4.4% price, Q1 FY2026: 4.0% price per transcript data). For FY2027, we model 3.5% menu price con</w:t>
            </w:r>
          </w:p>
        </w:tc>
      </w:tr>
      <w:tr>
        <w:tc>
          <w:tcPr>
            <w:tcW w:type="dxa" w:w="2448"/>
            <w:tcBorders>
              <w:top w:val="single" w:sz="4" w:color="BDC3C7"/>
              <w:bottom w:val="single" w:sz="4" w:color="BDC3C7"/>
              <w:left w:val="single" w:sz="4" w:color="BDC3C7"/>
              <w:right w:val="single" w:sz="4" w:color="BDC3C7"/>
            </w:tcBorders>
          </w:tcPr>
          <w:p>
            <w:r>
              <w:t xml:space="preserve">    ticket_growth_mix</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 xml:space="preserve">Mix has been running +0.6% in Q3 FY2026 and +1.5% in Q2 FY2026, driven by premium beverage innovation (Margarita of the Month, frozen Patron platform) and menu upgrades (ribs, nachos, bacon burger). For FY2027, we model </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8</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company_owned_new_units</w:t>
            </w:r>
          </w:p>
        </w:tc>
        <w:tc>
          <w:tcPr>
            <w:tcW w:type="dxa" w:w="2448"/>
            <w:tcBorders>
              <w:top w:val="single" w:sz="4" w:color="BDC3C7"/>
              <w:bottom w:val="single" w:sz="4" w:color="BDC3C7"/>
              <w:left w:val="single" w:sz="4" w:color="BDC3C7"/>
              <w:right w:val="single" w:sz="4" w:color="BDC3C7"/>
            </w:tcBorders>
          </w:tcPr>
          <w:p>
            <w:r>
              <w:t>8</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Management guided 6 company-owned restaurant openings for FY2026 (per the restaurant summary in the Q3 FY2026 press release: 'Full Year Projected Openings: 6 company-owned'). For FY2027, management has signaled an accele</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+56bps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commodity_inflation_net</w:t>
            </w:r>
          </w:p>
        </w:tc>
        <w:tc>
          <w:tcPr>
            <w:tcW w:type="dxa" w:w="2448"/>
            <w:tcBorders>
              <w:top w:val="single" w:sz="4" w:color="BDC3C7"/>
              <w:bottom w:val="single" w:sz="4" w:color="BDC3C7"/>
              <w:left w:val="single" w:sz="4" w:color="BDC3C7"/>
              <w:right w:val="single" w:sz="4" w:color="BDC3C7"/>
            </w:tcBorders>
          </w:tcPr>
          <w:p>
            <w:r>
              <w:t>+56bps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 Q3 FY2026, Chili's food cost was 25.6% of company sales, up from 25.0% in Q3 FY2025 — a +60bps net headwind driven by +130bps commodity costs and +50bps menu mix, partially offset by -120bps menu price (deck p.5). Man</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-10bps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net_labor_cost_change</w:t>
            </w:r>
          </w:p>
        </w:tc>
        <w:tc>
          <w:tcPr>
            <w:tcW w:type="dxa" w:w="2448"/>
            <w:tcBorders>
              <w:top w:val="single" w:sz="4" w:color="BDC3C7"/>
              <w:bottom w:val="single" w:sz="4" w:color="BDC3C7"/>
              <w:left w:val="single" w:sz="4" w:color="BDC3C7"/>
              <w:right w:val="single" w:sz="4" w:color="BDC3C7"/>
            </w:tcBorders>
          </w:tcPr>
          <w:p>
            <w:r>
              <w:t>-10bps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In Q3 FY2026, Chili's restaurant labor was 31.4% of company sales, down from 32.0% in Q3 FY2025 — a -60bps improvement driven by leverage (-50bps) and hourly labor efficiency (-40bps), partially offset by salary inflatio</w:t>
            </w:r>
          </w:p>
        </w:tc>
      </w:tr>
      <w:tr>
        <w:tc>
          <w:tcPr>
            <w:tcW w:type="dxa" w:w="2448"/>
            <w:tcBorders>
              <w:top w:val="single" w:sz="4" w:color="BDC3C7"/>
              <w:bottom w:val="single" w:sz="4" w:color="BDC3C7"/>
              <w:left w:val="single" w:sz="4" w:color="BDC3C7"/>
              <w:right w:val="single" w:sz="4" w:color="BDC3C7"/>
            </w:tcBorders>
          </w:tcPr>
          <w:p>
            <w:r>
              <w:rPr>
                <w:b/>
              </w:rPr>
              <w:t>Other Restaurant Costs</w:t>
            </w:r>
          </w:p>
        </w:tc>
        <w:tc>
          <w:tcPr>
            <w:tcW w:type="dxa" w:w="2448"/>
            <w:tcBorders>
              <w:top w:val="single" w:sz="4" w:color="BDC3C7"/>
              <w:bottom w:val="single" w:sz="4" w:color="BDC3C7"/>
              <w:left w:val="single" w:sz="4" w:color="BDC3C7"/>
              <w:right w:val="single" w:sz="4" w:color="BDC3C7"/>
            </w:tcBorders>
          </w:tcPr>
          <w:p>
            <w:r>
              <w:rPr>
                <w:b/>
              </w:rPr>
              <w:t>+42bps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structural_restaurant_expense</w:t>
            </w:r>
          </w:p>
        </w:tc>
        <w:tc>
          <w:tcPr>
            <w:tcW w:type="dxa" w:w="2448"/>
            <w:tcBorders>
              <w:top w:val="single" w:sz="4" w:color="BDC3C7"/>
              <w:bottom w:val="single" w:sz="4" w:color="BDC3C7"/>
              <w:left w:val="single" w:sz="4" w:color="BDC3C7"/>
              <w:right w:val="single" w:sz="4" w:color="BDC3C7"/>
            </w:tcBorders>
          </w:tcPr>
          <w:p>
            <w:r>
              <w:t>+42bps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In Q3 FY2026, Chili's restaurant expense was 24.6% of company sales, up from 24.1% in Q3 FY2025 — a +50bps net headwind driven by R&amp;M (+30bps), delivery/to-go (+30bps), rent (+20bps), and other (+20bps), partially offset</w:t>
            </w:r>
          </w:p>
        </w:tc>
      </w:tr>
      <w:tr>
        <w:tc>
          <w:tcPr>
            <w:tcW w:type="dxa" w:w="2448"/>
            <w:tcBorders>
              <w:top w:val="single" w:sz="4" w:color="BDC3C7"/>
              <w:bottom w:val="single" w:sz="4" w:color="BDC3C7"/>
              <w:left w:val="single" w:sz="4" w:color="BDC3C7"/>
              <w:right w:val="single" w:sz="4" w:color="BDC3C7"/>
            </w:tcBorders>
          </w:tcPr>
          <w:p>
            <w:r>
              <w:rPr>
                <w:b/>
              </w:rPr>
              <w:t>G&amp;A Expense Growth</w:t>
            </w:r>
          </w:p>
        </w:tc>
        <w:tc>
          <w:tcPr>
            <w:tcW w:type="dxa" w:w="2448"/>
            <w:tcBorders>
              <w:top w:val="single" w:sz="4" w:color="BDC3C7"/>
              <w:bottom w:val="single" w:sz="4" w:color="BDC3C7"/>
              <w:left w:val="single" w:sz="4" w:color="BDC3C7"/>
              <w:right w:val="single" w:sz="4" w:color="BDC3C7"/>
            </w:tcBorders>
          </w:tcPr>
          <w:p>
            <w:r>
              <w:rPr>
                <w:b/>
              </w:rPr>
              <w:t>+5.00%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ga_growth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FY2025 SG&amp;A was $222.0M (4.1% of revenue per structured financials). For FY2027, we model 5% G&amp;A growth — slightly above revenue growth — reflecting ongoing investment in the new unit development team (Richard Ingram hir</w:t>
            </w:r>
          </w:p>
        </w:tc>
      </w:tr>
      <w:tr>
        <w:tc>
          <w:tcPr>
            <w:tcW w:type="dxa" w:w="2448"/>
            <w:tcBorders>
              <w:top w:val="single" w:sz="4" w:color="BDC3C7"/>
              <w:bottom w:val="single" w:sz="4" w:color="BDC3C7"/>
              <w:left w:val="single" w:sz="4" w:color="BDC3C7"/>
              <w:right w:val="single" w:sz="4" w:color="BDC3C7"/>
            </w:tcBorders>
          </w:tcPr>
          <w:p>
            <w:r>
              <w:rPr>
                <w:b/>
              </w:rPr>
              <w:t>Stock Compensation Growth</w:t>
            </w:r>
          </w:p>
        </w:tc>
        <w:tc>
          <w:tcPr>
            <w:tcW w:type="dxa" w:w="2448"/>
            <w:tcBorders>
              <w:top w:val="single" w:sz="4" w:color="BDC3C7"/>
              <w:bottom w:val="single" w:sz="4" w:color="BDC3C7"/>
              <w:left w:val="single" w:sz="4" w:color="BDC3C7"/>
              <w:right w:val="single" w:sz="4" w:color="BDC3C7"/>
            </w:tcBorders>
          </w:tcPr>
          <w:p>
            <w:r>
              <w:rPr>
                <w:b/>
              </w:rPr>
              <w:t>+5.00%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stock_comp_growth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Stock compensation growth is modeled at 5% for FY2027, consistent with typical restaurant company norms and the modest headcount growth implied by the new unit development program. No specific stock compensation guidance</w:t>
            </w:r>
          </w:p>
        </w:tc>
      </w:tr>
    </w:tbl>
    <w:p>
      <w:pPr>
        <w:pStyle w:val="SubHeading"/>
      </w:pPr>
      <w:r>
        <w:t>Bear revisions:</w:t>
      </w:r>
    </w:p>
    <w:p>
      <w:pPr>
        <w:pStyle w:val="ListBullet"/>
      </w:pPr>
      <w:r>
        <w:t>Chili's Same-Store Sales Growth.traffic_growth: 0.5 → -1.0 — Bear scenario: consumer sentiment at 49.8 (University of Michigan, April 2026, down YoY) leads to casual dining traffic softness with a one-quarter lag (historically, sentiment leads discretionary spend by ~1 quarter per analyst inference from macro precedent). If Q1 FY2027 traffic turns negative as the +21.4% lap proves too difficult even with the chicken sandwich launch, and consumer stress from low savings rates (2.60%, down 52.7% YoY) and high headline CPI (+4.2% YoY) intensifies, Chili's traffic could turn -1% for FY2027, pulling SSS to approximately +3% and revenue to ~$5.95B — well below consensus $6.145B.</w:t>
      </w:r>
    </w:p>
    <w:p>
      <w:pPr>
        <w:pStyle w:val="ListBullet"/>
      </w:pPr>
      <w:r>
        <w:t>Food Cost.commodity_inflation_net: 40 → 70 — Bear scenario: PPI running +13.1% YoY (FRED, May 2026) broadens from beef into poultry and dairy (management noted 'better than expected poultry and dairy commodity prices' in Q2 FY2026 — this tailwind reverses). If commodity inflation accelerates to high-single-digits in FY2027 and menu pricing is constrained to ~3% to maintain the value gap, food cost could add +70bps headwind versus our base case of +40bps, compressing restaurant operating margin by an additional 30bps and reducing FY2027 EPS by approximately $0.25-0.30.</w:t>
      </w:r>
    </w:p>
    <w:p>
      <w:pPr>
        <w:pStyle w:val="ListBullet"/>
      </w:pPr>
      <w:r>
        <w:t>Other Restaurant Costs.structural_restaurant_expense: 30 → 50 — Bear scenario: the reimage program accelerates (management noted 'first four remodel pilot restaurants should be completed by end of Q1 FY2026' and referenced a 'smaller scope reimage program' in Q1 FY2026) and R&amp;M investment increases as the restaurant base ages. If structural restaurant expense inflates +50bps net (versus our base case of +30bps) due to an accelerated reimage cycle and higher delivery/to-go costs from continued off-premise mix shift, the combined margin headwind from food + restaurant expense could reach +120bps, making any margin expansion in FY2027 impossible and potentially driving margin contraction of -10 to -20bps.</w:t>
      </w:r>
    </w:p>
    <w:p>
      <w:pPr>
        <w:pStyle w:val="ListBullet"/>
      </w:pPr>
      <w:r>
        <w:rPr>
          <w:i/>
        </w:rPr>
        <w:t>→ Research: Search confirms Maggiano's persistent SSS declines (-2.4% Q2 FY26, -4.6% Q3 FY26) and restaurant closures, but reveals active turnaround strategy rather than divestiture. CEO Hochman appointed interim president August 2025 to execute 'Back to Maggiano's' plan modeled on Chili's success; no sale or closure announcement found. (brinker.com)</w:t>
      </w:r>
    </w:p>
    <w:p>
      <w:pPr>
        <w:pStyle w:val="SectionHeading"/>
      </w:pPr>
      <w:r>
        <w:t>3. Consensus Gap &amp; Valuation</w:t>
      </w:r>
    </w:p>
    <w:p>
      <w:r>
        <w:t>Our EPS: $10.73  =  baseline $10.76  +  Σ claim impacts $-0.03 (0.2% below consensus $10.76)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$10.76</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$5.8B → $5.8B (Δ $-13M)</w:t>
            </w:r>
          </w:p>
        </w:tc>
        <w:tc>
          <w:tcPr>
            <w:tcW w:type="dxa" w:w="2448"/>
            <w:tcBorders>
              <w:top w:val="single" w:sz="4" w:color="BDC3C7"/>
              <w:bottom w:val="single" w:sz="4" w:color="BDC3C7"/>
              <w:left w:val="single" w:sz="4" w:color="BDC3C7"/>
              <w:right w:val="single" w:sz="4" w:color="BDC3C7"/>
            </w:tcBorders>
          </w:tcPr>
          <w:p>
            <w:r>
              <w:t>Revenue Δ $-13M × 11% incremental margin × 83% after-tax</w:t>
            </w:r>
          </w:p>
        </w:tc>
        <w:tc>
          <w:tcPr>
            <w:tcW w:type="dxa" w:w="2448"/>
            <w:tcBorders>
              <w:top w:val="single" w:sz="4" w:color="BDC3C7"/>
              <w:bottom w:val="single" w:sz="4" w:color="BDC3C7"/>
              <w:left w:val="single" w:sz="4" w:color="BDC3C7"/>
              <w:right w:val="single" w:sz="4" w:color="BDC3C7"/>
            </w:tcBorders>
          </w:tcPr>
          <w:p>
            <w:r>
              <w:t>-0.03</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-0.03</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$10.73</w:t>
            </w:r>
          </w:p>
        </w:tc>
      </w:tr>
    </w:tbl>
    <w:p>
      <w:pPr>
        <w:pStyle w:val="PullQuote"/>
      </w:pPr>
      <w:r>
        <w:t xml:space="preserve">  ⚠ 2 claim(s) target a different fiscal period than the current_fy baseline and weren't summed: consensus_next_fy_eps, consensus_next_fy_revenue</w:t>
      </w:r>
    </w:p>
    <w:p>
      <w:r>
        <w:t>Our estimate is $0.03 (0.2%) below consensus $10.76. No single driver within plausible bounds can close the gap to consensus when other drivers are held at our values; the EPS variant is diffuse (top magnitude: Chili's Same-Store Sales Growth.traffic_growth). Variant appears within market noise -- may already be priced in. Next catalyst: Next quarterly earnings report (2026-04-29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Chili's Same-Store Sales Growth.traffic_growth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Chili's Same-Store Sales Growth.ticket_growth_price</w:t>
            </w:r>
          </w:p>
        </w:tc>
        <w:tc>
          <w:tcPr>
            <w:tcW w:type="dxa" w:w="1958"/>
            <w:tcBorders>
              <w:top w:val="single" w:sz="4" w:color="BDC3C7"/>
              <w:bottom w:val="single" w:sz="4" w:color="BDC3C7"/>
              <w:left w:val="single" w:sz="4" w:color="BDC3C7"/>
              <w:right w:val="single" w:sz="4" w:color="BDC3C7"/>
            </w:tcBorders>
          </w:tcPr>
          <w:p>
            <w:r>
              <w:t>+3.50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Chili's Same-Store Sales Growth.ticket_growth_mix</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New Restaurant Openings.company_owned_new_units</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Food Cost.commodity_inflation_net</w:t>
            </w:r>
          </w:p>
        </w:tc>
        <w:tc>
          <w:tcPr>
            <w:tcW w:type="dxa" w:w="1958"/>
            <w:tcBorders>
              <w:top w:val="single" w:sz="4" w:color="BDC3C7"/>
              <w:bottom w:val="single" w:sz="4" w:color="BDC3C7"/>
              <w:left w:val="single" w:sz="4" w:color="BDC3C7"/>
              <w:right w:val="single" w:sz="4" w:color="BDC3C7"/>
            </w:tcBorders>
          </w:tcPr>
          <w:p>
            <w:r>
              <w:t>+56.00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Labor Cost.net_labor_cost_change</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Other Restaurant Costs.structural_restaurant_expense</w:t>
            </w:r>
          </w:p>
        </w:tc>
        <w:tc>
          <w:tcPr>
            <w:tcW w:type="dxa" w:w="1958"/>
            <w:tcBorders>
              <w:top w:val="single" w:sz="4" w:color="BDC3C7"/>
              <w:bottom w:val="single" w:sz="4" w:color="BDC3C7"/>
              <w:left w:val="single" w:sz="4" w:color="BDC3C7"/>
              <w:right w:val="single" w:sz="4" w:color="BDC3C7"/>
            </w:tcBorders>
          </w:tcPr>
          <w:p>
            <w:r>
              <w:t>+42.00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G&amp;A Expense Growth.ga_growth</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(-0.2%) within implied move noise (3.2%). Short interest 18.9% neutral</w:t>
      </w:r>
    </w:p>
    <w:p>
      <w:r>
        <w:t>Edge verdict: NO_CLEAR_EDGE (score 0.002).</w:t>
      </w:r>
    </w:p>
    <w:p>
      <w:pPr>
        <w:pStyle w:val="SectionHeading"/>
      </w:pPr>
      <w:r>
        <w:t>4. Catalysts</w:t>
      </w:r>
    </w:p>
    <w:p>
      <w:pPr>
        <w:pStyle w:val="ListBullet"/>
      </w:pPr>
      <w:r>
        <w:t>Next quarterly earnings report (2026-04-29 (1 days)) — resolves revenue + margins + guidance; confirms or challenges</w:t>
      </w:r>
    </w:p>
    <w:p>
      <w:pPr>
        <w:pStyle w:val="ListBullet"/>
      </w:pPr>
      <w:r>
        <w:t>Resolution: Bull case assumes 30-40bps of restaurant operating margin expansion in FY2027, c (Multi-year thesis -- patience required) — resolves Other Restaurant Costs; confirms or challenges</w:t>
      </w:r>
    </w:p>
    <w:p>
      <w:pPr>
        <w:pStyle w:val="ListBullet"/>
      </w:pPr>
      <w:r>
        <w:t>Resolution: Bull case assumes Chili's chicken sandwich platform will sustain mid-single-digi (Multi-year thesis -- patience required) — resolves Chili's Same-Store Sales Growth; confirms or challenges</w:t>
      </w:r>
    </w:p>
    <w:p>
      <w:pPr>
        <w:pStyle w:val="ListBullet"/>
      </w:pPr>
      <w:r>
        <w:t>Resolution: Bull case assumes continued aggressive share buybacks will drive EPS growth thro (Multi-year thesis -- patience required) — resolves Chili's Same-Store Sales Growth; confirms or challenges</w:t>
      </w:r>
    </w:p>
    <w:p>
      <w:pPr>
        <w:pStyle w:val="ListBullet"/>
      </w:pPr>
      <w:r>
        <w:t>Q4 FY2026 chicken sandwich sales lift data — management has not yet disclosed quantified traffic or  (Unknown timing) — resolves multiple; resolves uncertainty</w:t>
      </w:r>
    </w:p>
    <w:p>
      <w:pPr>
        <w:pStyle w:val="ListBullet"/>
      </w:pPr>
      <w:r>
        <w:t>FY2027 initial management guidance — not yet disclosed (expected at Q4 FY2026 earnings in August 202 (Unknown timing) — resolves multiple; resolves uncertainty</w:t>
      </w:r>
    </w:p>
    <w:p>
      <w:pPr>
        <w:pStyle w:val="SectionHeading"/>
      </w:pPr>
      <w:r>
        <w:t>5. Risks, Blind Spots &amp; Kill Criteria</w:t>
      </w:r>
    </w:p>
    <w:p>
      <w:pPr>
        <w:pStyle w:val="SubHeading"/>
      </w:pPr>
      <w:r>
        <w:t>Top risks:</w:t>
      </w:r>
    </w:p>
    <w:p>
      <w:pPr>
        <w:pStyle w:val="ListBullet"/>
      </w:pPr>
      <w:r>
        <w:t>Bull case assumes 30-40bps of restaurant operating margin expansion in FY2027, consistent with management's stated target and the operating leverage from mid-single-digit SSS growth — counter: The Q3 FY2026 cost bridge (deck pp.5-7) shows three structural, non-leverage-sensitive cost lines — R&amp;M (+30bps), delivery/to-go (+30bps), and rent (+20bps) — inflating at +80bps gross with only -50bps leverage offset, for a net +30bps headwind from restaurant expense alone. Simultaneously, food cost commodity inflation was +130bps in Q3 FY2026 with only -120bps menu price offset, and management upgraded commodity guidance to 'mid-single digits' from 'low single digits' in Q2. PPI running +13.1% YoY (FRED, May 2026) suggests commodity pressure is broadening. The math: if restaurant expense adds +30bps headwind and food cost adds +40bps headwind in FY2027, labor would need to improve by +70-80bps just to achieve flat margins — which requires either significant SSS acceleration above mid-single-digits or a structural labor efficiency breakthrough. [serious]</w:t>
      </w:r>
    </w:p>
    <w:p>
      <w:pPr>
        <w:pStyle w:val="ListBullet"/>
      </w:pPr>
      <w:r>
        <w:t>Bull case assumes Chili's chicken sandwich platform will sustain mid-single-digit SSS through the difficult Q1 FY2027 lap of +21.4% — counter: The chicken sandwich was tested in only 200 restaurants without national advertising before the April 2026 launch. Management noted in Q2 FY2026 that 'the sandwich lineup has done exceptionally well from a mixed standpoint in merchandising-only tests in 200 restaurants' — but merchandising-only tests in 200 restaurants are not a validated proxy for national advertising-supported performance across 1,200+ units. The Q3 FY2026 call (April 29, 2026) noted the sandwich had just launched, with no quantified traffic or sales lift data yet disclosed. The chicken sandwich category is also highly competitive (McDonald's, Chick-fil-A, Popeyes all have established platforms), and Chili's is a new entrant at a higher price point than QSR alternatives. [moderate]</w:t>
      </w:r>
    </w:p>
    <w:p>
      <w:pPr>
        <w:pStyle w:val="ListBullet2"/>
      </w:pPr>
      <w:r>
        <w:rPr>
          <w:i/>
        </w:rPr>
        <w:t>→ Research confirms: Chili's chicken sandwich was tested in 200 restaurants with merchandising-only support (no national advertising) before the April 2026 national launch backed by TV advertising. (restaurantdive.com)</w:t>
      </w:r>
    </w:p>
    <w:p>
      <w:pPr>
        <w:pStyle w:val="ListBullet"/>
      </w:pPr>
      <w:r>
        <w:t>Bull case assumes continued aggressive share buybacks will drive EPS growth through share count reduction in FY2027 — counter: The early redemption of the 8.25% Senior Notes due 2030 (June 18, 2026 news) signals management is prioritizing debt reduction alongside buybacks, which may moderate the pace of share repurchases in FY2027. Additionally, the broad-based insider selling in January-February 2026 (CEO sold 25.2% of stake at $160.31, CFO sold 20.1% at $162.40, CMO sold 56.4% at $161.00) at prices 10-15% above current levels suggests management's internal view of fair value may be below the consensus price target of $184.90. The buyback program has been aggressive ($300M+ in FY2026), but if management views the stock as fairly valued at $160 and the current price is $143-146, the buyback pace may actually accelerate — which would be a positive EPS signal, not a negative one. We note this contradiction cuts both ways. [minor]</w:t>
      </w:r>
    </w:p>
    <w:p>
      <w:pPr>
        <w:pStyle w:val="KillCriteria"/>
      </w:pPr>
      <w:r>
        <w:t>What would change our mind: Unable to close gap: Q4 FY2026 chicken sandwich sales lift data — management has not yet disclosed quantified traffic or sales contribution from the April 2026 national launch; this is the single most important unknown for the FY2027 SSS trajectory</w:t>
      </w:r>
    </w:p>
    <w:p>
      <w:pPr>
        <w:pStyle w:val="SectionHeading"/>
      </w:pPr>
      <w:r>
        <w:t>Appendix</w:t>
      </w:r>
    </w:p>
    <w:p>
      <w:pPr>
        <w:pStyle w:val="SubHeading"/>
      </w:pPr>
      <w:r>
        <w:t>Evidence gaps (research TODO):</w:t>
      </w:r>
    </w:p>
    <w:p>
      <w:pPr>
        <w:pStyle w:val="ListBullet"/>
      </w:pPr>
      <w:r>
        <w:t>Q4 FY2026 chicken sandwich sales lift data — management has not yet disclosed quantified traffic or sales contribution from the April 2026 national launch; this is the single most important unknown for the FY2027 SSS trajectory</w:t>
      </w:r>
    </w:p>
    <w:p>
      <w:pPr>
        <w:pStyle w:val="ListBullet"/>
      </w:pPr>
      <w:r>
        <w:t>FY2027 initial management guidance — not yet disclosed (expected at Q4 FY2026 earnings in August 2026 and Investor Day in September 2026); without this, our FY2027 estimates are extrapolations from the FY2026 cost bridge</w:t>
      </w:r>
    </w:p>
    <w:p>
      <w:pPr>
        <w:pStyle w:val="ListBullet"/>
      </w:pPr>
      <w:r>
        <w:t>Commodity contract structure — management has not disclosed what percentage of commodity exposure is hedged for FY2027 versus spot-priced; this is critical for assessing the food cost headwind magnitude</w:t>
      </w:r>
    </w:p>
    <w:p>
      <w:pPr>
        <w:pStyle w:val="ListBullet"/>
      </w:pPr>
      <w:r>
        <w:t>Maggiano's turnaround timeline — management has described 'sequential progress' and 'green shoots' but has not provided a quantified recovery timeline or SSS target for the brand; at 8% of company sales and 3% of profit, the drag is meaningful but the recovery path is opaque</w:t>
      </w:r>
    </w:p>
    <w:p>
      <w:pPr>
        <w:pStyle w:val="ListBullet"/>
      </w:pPr>
      <w:r>
        <w:t>New unit economics for FY2027+ — management has hired a new unit development leader (Richard Ingram) and is evaluating the opportunity, but has not disclosed target unit count, AUV assumptions for new units, or capital cost per unit; the Investor Day in September 2026 is the expected disclosure event</w:t>
      </w:r>
    </w:p>
    <w:p>
      <w:pPr>
        <w:pStyle w:val="ListBullet"/>
      </w:pPr>
      <w:r>
        <w:t>Debt reduction impact on interest expense — the June 2026 early redemption of the 8.25% Senior Notes reduces interest expense, but the exact principal amount redeemed and the timing of the redemption have not been disclosed in the corpus; this affects the FY2027 EPS bridge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