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ELF — ELF</w:t>
      </w:r>
    </w:p>
    <w:p>
      <w:pPr>
        <w:pStyle w:val="SmallMeta"/>
      </w:pPr>
      <w:r>
        <w:t>As of 2026-06-01  |  Schema: general  |  Data: polygon+alpha_vantage (FY2026)</w:t>
      </w:r>
    </w:p>
    <w:p>
      <w:pPr>
        <w:pStyle w:val="SubHeading"/>
      </w:pPr>
      <w:r>
        <w:rPr>
          <w:color w:val="8C1D40"/>
        </w:rPr>
        <w:t>Current: $55.11</w:t>
      </w:r>
    </w:p>
    <w:p>
      <w:pPr>
        <w:pStyle w:val="SubHeading"/>
      </w:pPr>
      <w:r>
        <w:t>Summary</w:t>
      </w:r>
    </w:p>
    <w:p>
      <w:pPr>
        <w:pStyle w:val="ListBullet"/>
      </w:pPr>
      <w:r>
        <w:t>Thesis: Consensus FY26 revenue of $1.865B appears achievable but FY27 estimates of $1.998B (+7.1% growth) underestimate the organic deceleration risk as Rhode growth normalizes and core e.l.f. faces tougher innovation comps.</w:t>
      </w:r>
    </w:p>
    <w:p>
      <w:pPr>
        <w:pStyle w:val="ListBullet"/>
      </w:pPr>
      <w:r>
        <w:t>Next catalyst: Next quarterly earnings report (2026-08-05 (65 days))</w:t>
      </w:r>
    </w:p>
    <w:p>
      <w:pPr>
        <w:pStyle w:val="ListBullet"/>
      </w:pPr>
      <w:r>
        <w:t>Top risk: Core e.l.f. innovation pipeline remains strong</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'consumer_staples'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$0.74</w:t>
            </w:r>
          </w:p>
        </w:tc>
        <w:tc>
          <w:tcPr>
            <w:tcW w:type="dxa" w:w="1399"/>
            <w:tcBorders>
              <w:top w:val="single" w:sz="4" w:color="BDC3C7"/>
              <w:bottom w:val="single" w:sz="4" w:color="BDC3C7"/>
              <w:left w:val="single" w:sz="4" w:color="BDC3C7"/>
              <w:right w:val="single" w:sz="4" w:color="BDC3C7"/>
            </w:tcBorders>
          </w:tcPr>
          <w:p>
            <w:r>
              <w:t>$0.52 – $0.92</w:t>
            </w:r>
          </w:p>
        </w:tc>
        <w:tc>
          <w:tcPr>
            <w:tcW w:type="dxa" w:w="1399"/>
            <w:tcBorders>
              <w:top w:val="single" w:sz="4" w:color="BDC3C7"/>
              <w:bottom w:val="single" w:sz="4" w:color="BDC3C7"/>
              <w:left w:val="single" w:sz="4" w:color="BDC3C7"/>
              <w:right w:val="single" w:sz="4" w:color="BDC3C7"/>
            </w:tcBorders>
          </w:tcPr>
          <w:p>
            <w:r>
              <w:t>16</w:t>
            </w:r>
          </w:p>
        </w:tc>
        <w:tc>
          <w:tcPr>
            <w:tcW w:type="dxa" w:w="1399"/>
            <w:tcBorders>
              <w:top w:val="single" w:sz="4" w:color="BDC3C7"/>
              <w:bottom w:val="single" w:sz="4" w:color="BDC3C7"/>
              <w:left w:val="single" w:sz="4" w:color="BDC3C7"/>
              <w:right w:val="single" w:sz="4" w:color="BDC3C7"/>
            </w:tcBorders>
          </w:tcPr>
          <w:p>
            <w:r>
              <w:t>-17.3%</w:t>
            </w:r>
          </w:p>
        </w:tc>
        <w:tc>
          <w:tcPr>
            <w:tcW w:type="dxa" w:w="1399"/>
            <w:tcBorders>
              <w:top w:val="single" w:sz="4" w:color="BDC3C7"/>
              <w:bottom w:val="single" w:sz="4" w:color="BDC3C7"/>
              <w:left w:val="single" w:sz="4" w:color="BDC3C7"/>
              <w:right w:val="single" w:sz="4" w:color="BDC3C7"/>
            </w:tcBorders>
          </w:tcPr>
          <w:p>
            <w:r>
              <w:t>↓ -0.281</w:t>
            </w:r>
          </w:p>
        </w:tc>
        <w:tc>
          <w:tcPr>
            <w:tcW w:type="dxa" w:w="1399"/>
            <w:tcBorders>
              <w:top w:val="single" w:sz="4" w:color="BDC3C7"/>
              <w:bottom w:val="single" w:sz="4" w:color="BDC3C7"/>
              <w:left w:val="single" w:sz="4" w:color="BDC3C7"/>
              <w:right w:val="single" w:sz="4" w:color="BDC3C7"/>
            </w:tcBorders>
          </w:tcPr>
          <w:p>
            <w:r>
              <w:t>↑1 / ↓11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$0.67</w:t>
            </w:r>
          </w:p>
        </w:tc>
        <w:tc>
          <w:tcPr>
            <w:tcW w:type="dxa" w:w="1399"/>
            <w:tcBorders>
              <w:top w:val="single" w:sz="4" w:color="BDC3C7"/>
              <w:bottom w:val="single" w:sz="4" w:color="BDC3C7"/>
              <w:left w:val="single" w:sz="4" w:color="BDC3C7"/>
              <w:right w:val="single" w:sz="4" w:color="BDC3C7"/>
            </w:tcBorders>
          </w:tcPr>
          <w:p>
            <w:r>
              <w:t>$0.27 – $0.99</w:t>
            </w:r>
          </w:p>
        </w:tc>
        <w:tc>
          <w:tcPr>
            <w:tcW w:type="dxa" w:w="1399"/>
            <w:tcBorders>
              <w:top w:val="single" w:sz="4" w:color="BDC3C7"/>
              <w:bottom w:val="single" w:sz="4" w:color="BDC3C7"/>
              <w:left w:val="single" w:sz="4" w:color="BDC3C7"/>
              <w:right w:val="single" w:sz="4" w:color="BDC3C7"/>
            </w:tcBorders>
          </w:tcPr>
          <w:p>
            <w:r>
              <w:t>16</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 -0.036</w:t>
            </w:r>
          </w:p>
        </w:tc>
        <w:tc>
          <w:tcPr>
            <w:tcW w:type="dxa" w:w="1399"/>
            <w:tcBorders>
              <w:top w:val="single" w:sz="4" w:color="BDC3C7"/>
              <w:bottom w:val="single" w:sz="4" w:color="BDC3C7"/>
              <w:left w:val="single" w:sz="4" w:color="BDC3C7"/>
              <w:right w:val="single" w:sz="4" w:color="BDC3C7"/>
            </w:tcBorders>
          </w:tcPr>
          <w:p>
            <w:r>
              <w:t>↑4 / ↓8</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$3.30</w:t>
            </w:r>
          </w:p>
        </w:tc>
        <w:tc>
          <w:tcPr>
            <w:tcW w:type="dxa" w:w="1399"/>
            <w:tcBorders>
              <w:top w:val="single" w:sz="4" w:color="BDC3C7"/>
              <w:bottom w:val="single" w:sz="4" w:color="BDC3C7"/>
              <w:left w:val="single" w:sz="4" w:color="BDC3C7"/>
              <w:right w:val="single" w:sz="4" w:color="BDC3C7"/>
            </w:tcBorders>
          </w:tcPr>
          <w:p>
            <w:r>
              <w:t>$3.13 – $3.45</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+5.5%</w:t>
            </w:r>
          </w:p>
        </w:tc>
        <w:tc>
          <w:tcPr>
            <w:tcW w:type="dxa" w:w="1399"/>
            <w:tcBorders>
              <w:top w:val="single" w:sz="4" w:color="BDC3C7"/>
              <w:bottom w:val="single" w:sz="4" w:color="BDC3C7"/>
              <w:left w:val="single" w:sz="4" w:color="BDC3C7"/>
              <w:right w:val="single" w:sz="4" w:color="BDC3C7"/>
            </w:tcBorders>
          </w:tcPr>
          <w:p>
            <w:r>
              <w:t>↓ -0.332</w:t>
            </w:r>
          </w:p>
        </w:tc>
        <w:tc>
          <w:tcPr>
            <w:tcW w:type="dxa" w:w="1399"/>
            <w:tcBorders>
              <w:top w:val="single" w:sz="4" w:color="BDC3C7"/>
              <w:bottom w:val="single" w:sz="4" w:color="BDC3C7"/>
              <w:left w:val="single" w:sz="4" w:color="BDC3C7"/>
              <w:right w:val="single" w:sz="4" w:color="BDC3C7"/>
            </w:tcBorders>
          </w:tcPr>
          <w:p>
            <w:r>
              <w:t>↑0 / ↓15</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$3.66</w:t>
            </w:r>
          </w:p>
        </w:tc>
        <w:tc>
          <w:tcPr>
            <w:tcW w:type="dxa" w:w="1399"/>
            <w:tcBorders>
              <w:top w:val="single" w:sz="4" w:color="BDC3C7"/>
              <w:bottom w:val="single" w:sz="4" w:color="BDC3C7"/>
              <w:left w:val="single" w:sz="4" w:color="BDC3C7"/>
              <w:right w:val="single" w:sz="4" w:color="BDC3C7"/>
            </w:tcBorders>
          </w:tcPr>
          <w:p>
            <w:r>
              <w:t>$3.40 – $3.89</w:t>
            </w:r>
          </w:p>
        </w:tc>
        <w:tc>
          <w:tcPr>
            <w:tcW w:type="dxa" w:w="1399"/>
            <w:tcBorders>
              <w:top w:val="single" w:sz="4" w:color="BDC3C7"/>
              <w:bottom w:val="single" w:sz="4" w:color="BDC3C7"/>
              <w:left w:val="single" w:sz="4" w:color="BDC3C7"/>
              <w:right w:val="single" w:sz="4" w:color="BDC3C7"/>
            </w:tcBorders>
          </w:tcPr>
          <w:p>
            <w:r>
              <w:t>15</w:t>
            </w:r>
          </w:p>
        </w:tc>
        <w:tc>
          <w:tcPr>
            <w:tcW w:type="dxa" w:w="1399"/>
            <w:tcBorders>
              <w:top w:val="single" w:sz="4" w:color="BDC3C7"/>
              <w:bottom w:val="single" w:sz="4" w:color="BDC3C7"/>
              <w:left w:val="single" w:sz="4" w:color="BDC3C7"/>
              <w:right w:val="single" w:sz="4" w:color="BDC3C7"/>
            </w:tcBorders>
          </w:tcPr>
          <w:p>
            <w:r>
              <w:t>+10.7%</w:t>
            </w:r>
          </w:p>
        </w:tc>
        <w:tc>
          <w:tcPr>
            <w:tcW w:type="dxa" w:w="1399"/>
            <w:tcBorders>
              <w:top w:val="single" w:sz="4" w:color="BDC3C7"/>
              <w:bottom w:val="single" w:sz="4" w:color="BDC3C7"/>
              <w:left w:val="single" w:sz="4" w:color="BDC3C7"/>
              <w:right w:val="single" w:sz="4" w:color="BDC3C7"/>
            </w:tcBorders>
          </w:tcPr>
          <w:p>
            <w:r>
              <w:t>↓ -0.433</w:t>
            </w:r>
          </w:p>
        </w:tc>
        <w:tc>
          <w:tcPr>
            <w:tcW w:type="dxa" w:w="1399"/>
            <w:tcBorders>
              <w:top w:val="single" w:sz="4" w:color="BDC3C7"/>
              <w:bottom w:val="single" w:sz="4" w:color="BDC3C7"/>
              <w:left w:val="single" w:sz="4" w:color="BDC3C7"/>
              <w:right w:val="single" w:sz="4" w:color="BDC3C7"/>
            </w:tcBorders>
          </w:tcPr>
          <w:p>
            <w:r>
              <w:t>↑0 / ↓9</w:t>
            </w:r>
          </w:p>
        </w:tc>
      </w:tr>
    </w:tbl>
    <w:p>
      <w:r>
        <w:t>Revenue consensus: Q $0.43B (+21.2%)  |  Q+1 $0.43B (+25.6%)  |  FY $1.86B (+13.9%)  |  FY+1 $2.00B (+7.1%)</w:t>
      </w:r>
    </w:p>
    <w:p>
      <w:r>
        <w:t>Price targets: Mean $72.40  |  Median $70.00  |  Range $50.00–$90.00  |  Current $55.69 (+30.0% to mean)</w:t>
      </w:r>
    </w:p>
    <w:p>
      <w:r>
        <w:t>Analyst ratings (n=17): Strong Buy 1 · Buy 10 · Hold 6 · Sell 0 · Strong Sell 0  ·  65% bullish</w:t>
      </w:r>
    </w:p>
    <w:p>
      <w:r>
        <w:t>Next earnings: 2026-08-05 (65d out)  ·  EPS $0.74 ($0.52–$0.92)  ·  Rev $0.43B</w:t>
      </w:r>
    </w:p>
    <w:p>
      <w:pPr>
        <w:pStyle w:val="SectionHeading"/>
      </w:pPr>
      <w:r>
        <w:t>1. Research Synthesis</w:t>
      </w:r>
    </w:p>
    <w:p>
      <w:r>
        <w:t>The most striking disconnect in e.l.f.'s recent results lies in the gap between headline growth and underlying business momentum. While Q4 2026 delivered 35% revenue growth to $449M, beating consensus estimates, the composition reveals concerning trends that consensus appears to be glossing over. Core e.l.f. organic growth decelerated to just 1% in Q4, down from the 4-5% organic growth management guided for the full year. This deceleration occurred despite cycling what should have been easier comparisons, as Q4 2025 revenue growth was 3.6%. The sequential trajectory analysis shows Q4 2026 revenue of $449M declined 8.2% from Q3 2026's $490M, compared to Q4 2025's 6.4% sequential decline from Q3 2025 - a modest deterioration in seasonal patterns that becomes more concerning when viewed alongside the organic growth deceleration.</w:t>
      </w:r>
    </w:p>
    <w:p>
      <w:pPr>
        <w:pStyle w:val="ListBullet"/>
      </w:pPr>
      <w:r>
        <w:rPr>
          <w:i/>
        </w:rPr>
        <w:t>→ Research confirms: e.l.f. Beauty Q4 2026 revenue was $449.3 million with 35% YoY growth, beating consensus estimates of $427.3 million by $21.9 million. (businesswire.com)</w:t>
      </w:r>
    </w:p>
    <w:p>
      <w:pPr>
        <w:pStyle w:val="ListBullet"/>
      </w:pPr>
      <w:r>
        <w:rPr>
          <w:i/>
        </w:rPr>
        <w:t>→ Research [UPDATES]: Q4 core organic growth was 1% as claimed, but management guided for 4-5% organic growth for full-year fiscal 2027, not the full year as the brief states. The 1% Q4 result was within prior guidance. (fool.com)</w:t>
      </w:r>
    </w:p>
    <w:p>
      <w:r>
        <w:t>Management's response to this core brand weakness provides additional evidence of underlying pressure. In the Q4 2026 call, CEO Tarang Amin acknowledged that spring innovation 'missed relative to our own expectations' and outlined 'focused interventions' including bringing 'additional innovation that we had previously not planned for FY27 into this fiscal year.' This language represents a notable shift from the confident innovation pipeline messaging in prior quarters. CFO Mandy Fields added that these pricing and innovation initiatives 'are not yet baked into our outlook' - suggesting management is already working on fixes that aren't reflected in current guidance. The fact that management felt compelled to accelerate unplanned innovation into the current fiscal year indicates the base business trajectory requires more support than originally anticipated.</w:t>
      </w:r>
    </w:p>
    <w:p>
      <w:pPr>
        <w:pStyle w:val="PullQuote"/>
      </w:pPr>
      <w:r>
        <w:t>Counter: the analyst claims Rhode's 4.0% growth contribution assumption and successful premium/mass integration — but Q4 2026 data shows revenue declining sequentially despite Rhode presence, operating margins turning negative, and adjusted EPS down 59%. This suggests Rhode is cannibalizing rather than complementing the core business, and the premium/mass distribution model creates structural conflicts that destroy value rather than create synergies.</w:t>
      </w:r>
    </w:p>
    <w:p>
      <w:r>
        <w:t>The Rhode acquisition, while delivering impressive absolute numbers, also presents integration risks that consensus may be underestimating. Rhode contributed $113M in Q4 2026 and grew 80% for the full fiscal year, but this growth came entirely through direct-to-consumer channels and premium Sephora placement. Management's plan to expand Rhode into e.l.f.'s mass-market retail footprint represents a significant channel and positioning shift that could pressure both pricing power and brand equity. In the Q3 2026 call, Amin noted that 'only 20% of our DTC sales are outside the U.S., yet 74% of our social followers are outside the U.S.' - suggesting much of Rhode's current momentum may be driven by pent-up demand that could normalize as distribution expands.</w:t>
      </w:r>
    </w:p>
    <w:p>
      <w:pPr>
        <w:pStyle w:val="ListBullet"/>
      </w:pPr>
      <w:r>
        <w:rPr>
          <w:i/>
        </w:rPr>
        <w:t>→ Research confirms: Search results directly confirm both numerical claims: Rhode contributed $113M to Q4 2026 net sales and grew 80% for the full fiscal year 2026 (to $390M in net sales). (fool.com)</w:t>
      </w:r>
    </w:p>
    <w:p>
      <w:pPr>
        <w:pStyle w:val="ListBullet"/>
      </w:pPr>
      <w:r>
        <w:rPr>
          <w:i/>
        </w:rPr>
        <w:t>→ Research: Search confirms Rhode was founder-led (Hailey Bieber) with no PE sponsors identified. J.P. Morgan served as financial advisor; deal was competitive with PE firms bidding. No traditional PE ownership structure or exit overhang documented. (labusinessjournal.com)</w:t>
      </w:r>
    </w:p>
    <w:p>
      <w:r>
        <w:t>The margin trajectory provides another lens into the underlying business health. Gross margins in the structured financials show 70.7% for FY2026, but this masks significant quarterly volatility driven by tariff impacts and mix shifts. More concerning is the operating margin compression to just 4.5% in FY2026, down from double-digit levels in prior years. The Q4 2026 operating loss of $50M (11.2% margin) was particularly stark, representing a 213.6% year-over-year deterioration. While management attributed much of this to increased marketing investments and Rhode integration costs, the magnitude suggests structural margin pressure beyond temporary integration expenses.</w:t>
      </w:r>
    </w:p>
    <w:p>
      <w:pPr>
        <w:pStyle w:val="PullQuote"/>
      </w:pPr>
      <w:r>
        <w:t>Counter: the analyst claims Consensus underestimates the deceleration risk, creating a long opportunity — but The thesis assumes consensus is too optimistic about growth sustainability, but doesn't account for consensus potentially being too optimistic about margin sustainability. If the Rhode integration continues destroying profitability as Q4 suggests, the EPS miss could be much larger than revenue miss.</w:t>
      </w:r>
    </w:p>
    <w:p>
      <w:pPr>
        <w:pStyle w:val="ListBullet"/>
      </w:pPr>
      <w:r>
        <w:rPr>
          <w:i/>
        </w:rPr>
        <w:t>→ Research [CONTRADICTS]: Search results show e.l.f. Beauty posted a $49.4 million net loss in Q4 2026, not a $50M operating loss. Sources do not disclose Q4 operating loss or -11.2% operating margin; the claim conflates net loss with operating loss metrics. (businesswire.com)</w:t>
      </w:r>
    </w:p>
    <w:p>
      <w:r>
        <w:t>The margin trajectory provides another lens into the underlying business health. Gross margins in the structured financials show 72.7% for Q4 2026, but this masks significant quarterly volatility driven by tariff impacts and mix shifts. More concerning is the operating margin compression to -11.2% in Q4 2026, down from double-digit positive levels in prior years. The Q4 2026 operating loss of $50M (-11.2% margin) was particularly stark, representing a 213.6% year-over-year deterioration. While management attributed much of this to increased marketing investments and Rhode integration costs, the magnitude suggests structural margin pressure beyond temporary integration expenses.</w:t>
      </w:r>
    </w:p>
    <w:p>
      <w:r>
        <w:t>The competitive landscape also presents headwinds that consensus estimates may not fully capture. Management noted in the Q4 2026 call that 'the number of brands that we hear are going to be taking pricing' suggests industry-wide margin pressure that could limit e.l.f.'s pricing flexibility. Additionally, the company's historical advantage in social media marketing may be diminishing as competitors increase their digital spend and platforms become more saturated. The shift from organic social reach to paid media could pressure the company's historically lean marketing model.</w:t>
      </w:r>
    </w:p>
    <w:p>
      <w:pPr>
        <w:pStyle w:val="ListBullet"/>
      </w:pPr>
      <w:r>
        <w:rPr>
          <w:i/>
        </w:rPr>
        <w:t>→ Research: Search confirms industry pricing pressure exists but reveals ELF's specific competitive positioning: L'Oréal (NYX/Maybelline) is chief rival contesting price/innovation; Fenty and Rare Beauty compete for Gen Z; ELF gained share in primers/setting sprays 2023–2025 despite competitive duping. ELF's $6.50 avg price vs. $9.50 legacy mass and $20+ prestige provides structural value moat amid tariff-dri (matrixbcg.com)</w:t>
      </w:r>
    </w:p>
    <w:p>
      <w:r>
        <w:t>Insider activity provides an additional data point worth considering. CEO Tarang Amin sold $6.08M worth of shares across multiple transactions from December 2025 through April 2026, liquidating 75.2% of his stake. While insider sales can have various motivations, the magnitude and timing - coinciding with the organic growth deceleration - suggests management may have more tempered expectations for near-term performance than public commentary indicates.</w:t>
      </w:r>
    </w:p>
    <w:p>
      <w:pPr>
        <w:pStyle w:val="ListBullet"/>
      </w:pPr>
      <w:r>
        <w:rPr>
          <w:i/>
        </w:rPr>
        <w:t>→ Research [UPDATES]: Amin sold approximately $6.08M in shares Dec 2025–Apr 2026 as stated, but the 75.2% stake liquidation claim misrepresents his position: direct holdings fell ~35% (Apr 1) plus additional sales, but he retains ~935K total shares including substantial indirect family holdings. The claim conflates direct-only reduction with total stake liquidation. (stocktitan.net)</w:t>
      </w:r>
    </w:p>
    <w:p>
      <w:r>
        <w:t>The tariff situation adds another variable that could impact margins and pricing strategy. Management expects $58.5M in tariff refunds that could provide pricing flexibility, but the timing and magnitude of these benefits remain uncertain. The Q1 2026 call noted that 'more of that 170% to flow through' in Q2, suggesting continued gross margin pressure in the near term before any tariff relief materializes.</w:t>
      </w:r>
    </w:p>
    <w:p>
      <w:pPr>
        <w:pStyle w:val="ListBullet"/>
      </w:pPr>
      <w:r>
        <w:rPr>
          <w:i/>
        </w:rPr>
        <w:t>→ Research [UPDATES]: ELF management expects tariff refunds, but sources cite both $58.5M and $55M figures. Most recent earnings call (May 21) referenced $58.5M; CNBC and other outlets report $55M. The $3.5M delta reflects potential rounding or updated estimates. Claim of pricing flexibility support is confirmed. (supplychaindive.com)</w:t>
      </w:r>
    </w:p>
    <w:p>
      <w:r>
        <w:t>Synthesizing these factors, the most likely scenario appears to be continued pressure on organic growth rates as the core e.l.f. brand faces tougher innovation comparisons and Rhode growth normalizes from its current elevated levels. While management's 'focused interventions' may provide some support, the need to accelerate unplanned innovation suggests the base case trajectory requires more investment and time to stabilize than consensus FY27 estimates of 7.1% growth appear to assume.</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$0.74</w:t>
            </w:r>
          </w:p>
        </w:tc>
        <w:tc>
          <w:tcPr>
            <w:tcW w:type="dxa" w:w="3264"/>
            <w:tcBorders>
              <w:top w:val="single" w:sz="4" w:color="BDC3C7"/>
              <w:bottom w:val="single" w:sz="4" w:color="BDC3C7"/>
              <w:left w:val="single" w:sz="4" w:color="BDC3C7"/>
              <w:right w:val="single" w:sz="4" w:color="BDC3C7"/>
            </w:tcBorders>
          </w:tcPr>
          <w:p>
            <w:r>
              <w:t>$429M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$0.67</w:t>
            </w:r>
          </w:p>
        </w:tc>
        <w:tc>
          <w:tcPr>
            <w:tcW w:type="dxa" w:w="3264"/>
            <w:tcBorders>
              <w:top w:val="single" w:sz="4" w:color="BDC3C7"/>
              <w:bottom w:val="single" w:sz="4" w:color="BDC3C7"/>
              <w:left w:val="single" w:sz="4" w:color="BDC3C7"/>
              <w:right w:val="single" w:sz="4" w:color="BDC3C7"/>
            </w:tcBorders>
          </w:tcPr>
          <w:p>
            <w:r>
              <w:t>$432M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$3.30</w:t>
            </w:r>
          </w:p>
        </w:tc>
        <w:tc>
          <w:tcPr>
            <w:tcW w:type="dxa" w:w="3264"/>
            <w:tcBorders>
              <w:top w:val="single" w:sz="4" w:color="BDC3C7"/>
              <w:bottom w:val="single" w:sz="4" w:color="BDC3C7"/>
              <w:left w:val="single" w:sz="4" w:color="BDC3C7"/>
              <w:right w:val="single" w:sz="4" w:color="BDC3C7"/>
            </w:tcBorders>
          </w:tcPr>
          <w:p>
            <w:r>
              <w:t>$1,865M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$3.66</w:t>
            </w:r>
          </w:p>
        </w:tc>
        <w:tc>
          <w:tcPr>
            <w:tcW w:type="dxa" w:w="3264"/>
            <w:tcBorders>
              <w:top w:val="single" w:sz="4" w:color="BDC3C7"/>
              <w:bottom w:val="single" w:sz="4" w:color="BDC3C7"/>
              <w:left w:val="single" w:sz="4" w:color="BDC3C7"/>
              <w:right w:val="single" w:sz="4" w:color="BDC3C7"/>
            </w:tcBorders>
          </w:tcPr>
          <w:p>
            <w:r>
              <w:t>$1,998M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$2.0B</w:t>
            </w:r>
          </w:p>
        </w:tc>
        <w:tc>
          <w:tcPr>
            <w:tcW w:type="dxa" w:w="1632"/>
            <w:tcBorders>
              <w:top w:val="single" w:sz="4" w:color="BDC3C7"/>
              <w:bottom w:val="single" w:sz="4" w:color="BDC3C7"/>
              <w:left w:val="single" w:sz="4" w:color="BDC3C7"/>
              <w:right w:val="single" w:sz="4" w:color="BDC3C7"/>
            </w:tcBorders>
          </w:tcPr>
          <w:p>
            <w:r>
              <w:t>$1.9B</w:t>
            </w:r>
          </w:p>
        </w:tc>
        <w:tc>
          <w:tcPr>
            <w:tcW w:type="dxa" w:w="1632"/>
            <w:tcBorders>
              <w:top w:val="single" w:sz="4" w:color="BDC3C7"/>
              <w:bottom w:val="single" w:sz="4" w:color="BDC3C7"/>
              <w:left w:val="single" w:sz="4" w:color="BDC3C7"/>
              <w:right w:val="single" w:sz="4" w:color="BDC3C7"/>
            </w:tcBorders>
          </w:tcPr>
          <w:p>
            <w:r>
              <w:t>-0.36</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consensus_next_fy_revenue</w:t>
      </w:r>
    </w:p>
    <w:p>
      <w:r>
        <w:t>Consensus FY27 growth of 7.1% appears optimistic given core e.l.f. organic deceleration to 1% in Q4 2026 and management's acknowledgment that spring innovation missed expectations, requiring unplanned product acceleration.</w:t>
      </w:r>
    </w:p>
    <w:p>
      <w:r>
        <w:t>Street anchor: $2.0B (yfinance consensus) → Our view: $1.9B</w:t>
      </w:r>
    </w:p>
    <w:p>
      <w:pPr>
        <w:pStyle w:val="PullQuote"/>
      </w:pPr>
      <w:r>
        <w:t>“Q1, we called down high single digits because of the SAP kind of pull forward that we have and the base that we're cycling through”  (transcript)</w:t>
      </w:r>
    </w:p>
    <w:p>
      <w:pPr>
        <w:pStyle w:val="PullQuote"/>
      </w:pPr>
      <w:r>
        <w:t>“the initiatives that Terang mentioned on the value, the additional innovations, those actually are not yet baked into our outlook”  (transcript)</w:t>
      </w:r>
    </w:p>
    <w:p>
      <w:r>
        <w:t>Why not consensus: Sell-side analysts model FY27 top-down from FY26 base without adequately stress-testing the sustainability of Rhode's growth trajectory or factoring in the core brand's need for incremental innovation investment to stabilize organic growth rates.</w:t>
      </w:r>
    </w:p>
    <w:p>
      <w:pPr>
        <w:pStyle w:val="KillCriteria"/>
      </w:pPr>
      <w:r>
        <w:t>Falsifier: If Q1 FY27 organic growth accelerates above 5% and management confirms spring innovation pipeline is tracking to expectations without additional interventions.</w:t>
      </w:r>
    </w:p>
    <w:p>
      <w:pPr>
        <w:pStyle w:val="ListBullet2"/>
      </w:pPr>
      <w:r>
        <w:rPr>
          <w:i/>
        </w:rPr>
        <w:t>→ Research [CONTRADICTS]: Wall Street consensus for FY27 revenue is $1.86B (midpoint), implying 12-14% growth, not 7.1%. Management guidance of 12-14% growth is actually above the Street view. The claim conflates consensus with management guidance and materially understates expected growth. (stockstotrade.com)</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+6.10%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organic_growth_rate</w:t>
            </w:r>
          </w:p>
        </w:tc>
        <w:tc>
          <w:tcPr>
            <w:tcW w:type="dxa" w:w="2448"/>
            <w:tcBorders>
              <w:top w:val="single" w:sz="4" w:color="BDC3C7"/>
              <w:bottom w:val="single" w:sz="4" w:color="BDC3C7"/>
              <w:left w:val="single" w:sz="4" w:color="BDC3C7"/>
              <w:right w:val="single" w:sz="4" w:color="BDC3C7"/>
            </w:tcBorders>
          </w:tcPr>
          <w:p>
            <w:r>
              <w:t>+2.10%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Core e.l.f. organic growth decelerated to 1% in Q4 2026 from the 4-5% full-year guidance range. In the Q4 2026 call, CEO Amin acknowledged that 'innovation is still strong relative to the category' but 'relative to our o</w:t>
            </w:r>
          </w:p>
        </w:tc>
      </w:tr>
      <w:tr>
        <w:tc>
          <w:tcPr>
            <w:tcW w:type="dxa" w:w="2448"/>
            <w:tcBorders>
              <w:top w:val="single" w:sz="4" w:color="BDC3C7"/>
              <w:bottom w:val="single" w:sz="4" w:color="BDC3C7"/>
              <w:left w:val="single" w:sz="4" w:color="BDC3C7"/>
              <w:right w:val="single" w:sz="4" w:color="BDC3C7"/>
            </w:tcBorders>
          </w:tcPr>
          <w:p>
            <w:r>
              <w:t xml:space="preserve">    rhode_contribution</w:t>
            </w:r>
          </w:p>
        </w:tc>
        <w:tc>
          <w:tcPr>
            <w:tcW w:type="dxa" w:w="2448"/>
            <w:tcBorders>
              <w:top w:val="single" w:sz="4" w:color="BDC3C7"/>
              <w:bottom w:val="single" w:sz="4" w:color="BDC3C7"/>
              <w:left w:val="single" w:sz="4" w:color="BDC3C7"/>
              <w:right w:val="single" w:sz="4" w:color="BDC3C7"/>
            </w:tcBorders>
          </w:tcPr>
          <w:p>
            <w:r>
              <w:t>+4.00%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Rhode contributed $113M in Q4 2026 and grew 80% for the full fiscal year according to management commentary. However, this growth came entirely through DTC and premium Sephora placement. Management's plan to expand Rhode</w:t>
            </w:r>
          </w:p>
        </w:tc>
      </w:tr>
    </w:tbl>
    <w:p>
      <w:pPr>
        <w:pStyle w:val="SubHeading"/>
      </w:pPr>
      <w:r>
        <w:t>Bear revisions:</w:t>
      </w:r>
    </w:p>
    <w:p>
      <w:pPr>
        <w:pStyle w:val="ListBullet"/>
      </w:pPr>
      <w:r>
        <w:t>revenue_growth.organic_growth_rate: 3.5 → 2.0 — If core e.l.f. innovation pipeline continues to underperform and management's 'focused interventions' take longer to materialize, organic growth could remain closer to the 1% Q4 2026 level rather than recovering to historical 4-5% rates.</w:t>
      </w:r>
    </w:p>
    <w:p>
      <w:pPr>
        <w:pStyle w:val="SubHeading"/>
      </w:pPr>
      <w:r>
        <w:t>Comp decomposition check:</w:t>
      </w:r>
    </w:p>
    <w:p>
      <w:pPr>
        <w:pStyle w:val="ListBullet"/>
      </w:pPr>
      <w:r>
        <w:t>Schema mismatch: peer comps fit 'consumer_staples'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PullQuote"/>
      </w:pPr>
      <w:r>
        <w:t>Counter: the analyst claims Core e.l.f. organic growth rate of 3.5% is conservative and achievable — but Actual Q4 organic growth was only 1% for the namesake brand, and the sequential quarterly pattern shows deteriorating momentum even before tougher comps. The analyst's 3.5% assumption appears optimistic rather than conservative given the current trajectory.</w:t>
      </w:r>
    </w:p>
    <w:p>
      <w:pPr>
        <w:pStyle w:val="PullQuote"/>
      </w:pPr>
      <w:r>
        <w:t>Counter: the analyst claims FY27 estimates underestimate organic deceleration risk — but The analyst identifies the right risk but underestimates its severity. The deceleration is already happening (1% organic growth in Q4) and the margin destruction from Rhode integration suggests the business model itself may be broken, not just facing temporary headwinds.</w:t>
      </w:r>
    </w:p>
    <w:p>
      <w:pPr>
        <w:pStyle w:val="SectionHeading"/>
      </w:pPr>
      <w:r>
        <w:t>3. Consensus Gap &amp; Valuation</w:t>
      </w:r>
    </w:p>
    <w:p>
      <w:r>
        <w:t>Our EPS: $3.30  =  baseline $3.30  +  Σ claim impacts $+0.00 (0.0% below consensus $3.30)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$3.30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$3.30</w:t>
            </w:r>
          </w:p>
        </w:tc>
      </w:tr>
    </w:tbl>
    <w:p>
      <w:pPr>
        <w:pStyle w:val="PullQuote"/>
      </w:pPr>
      <w:r>
        <w:t xml:space="preserve">  ⚠ 1 claim(s) target a different fiscal period than the current_fy baseline and weren't summed: consensus_next_fy_revenue</w:t>
      </w:r>
    </w:p>
    <w:p>
      <w:r>
        <w:t>Our estimate is $0.00 (0.0%) below consensus $3.30. No single driver within plausible bounds can close the gap to consensus when other drivers are held at our values; the EPS variant is diffuse (top magnitude: revenue_growth.organic_growth_rate). Variant appears within market noise -- may already be priced in. Next catalyst: Next quarterly earnings report (2026-08-05 (65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revenue_growth.organic_growth_rate</w:t>
            </w:r>
          </w:p>
        </w:tc>
        <w:tc>
          <w:tcPr>
            <w:tcW w:type="dxa" w:w="1958"/>
            <w:tcBorders>
              <w:top w:val="single" w:sz="4" w:color="BDC3C7"/>
              <w:bottom w:val="single" w:sz="4" w:color="BDC3C7"/>
              <w:left w:val="single" w:sz="4" w:color="BDC3C7"/>
              <w:right w:val="single" w:sz="4" w:color="BDC3C7"/>
            </w:tcBorders>
          </w:tcPr>
          <w:p>
            <w:r>
              <w:t>+2.10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revenue_growth.rhode_contribution</w:t>
            </w:r>
          </w:p>
        </w:tc>
        <w:tc>
          <w:tcPr>
            <w:tcW w:type="dxa" w:w="1958"/>
            <w:tcBorders>
              <w:top w:val="single" w:sz="4" w:color="BDC3C7"/>
              <w:bottom w:val="single" w:sz="4" w:color="BDC3C7"/>
              <w:left w:val="single" w:sz="4" w:color="BDC3C7"/>
              <w:right w:val="single" w:sz="4" w:color="BDC3C7"/>
            </w:tcBorders>
          </w:tcPr>
          <w:p>
            <w:r>
              <w:t>+4.00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(0.1%). Short interest 17.8% neutral</w:t>
      </w:r>
    </w:p>
    <w:p>
      <w:r>
        <w:t>Edge verdict: NO_CLEAR_EDGE (score 0.000).</w:t>
      </w:r>
    </w:p>
    <w:p>
      <w:pPr>
        <w:pStyle w:val="SectionHeading"/>
      </w:pPr>
      <w:r>
        <w:t>4. Catalysts</w:t>
      </w:r>
    </w:p>
    <w:p>
      <w:pPr>
        <w:pStyle w:val="ListBullet"/>
      </w:pPr>
      <w:r>
        <w:t>Next quarterly earnings report (2026-08-05 (65 days)) — resolves revenue + margins + guidance; confirms or challenges</w:t>
      </w:r>
    </w:p>
    <w:p>
      <w:pPr>
        <w:pStyle w:val="ListBullet"/>
      </w:pPr>
      <w:r>
        <w:t>Resolution: Rhode acquisition will drive sustained double-digit growth (Resolves at earnings (2026-08-05)) — resolves revenue_growth; confirms or challenges</w:t>
      </w:r>
    </w:p>
    <w:p>
      <w:pPr>
        <w:pStyle w:val="ListBullet"/>
      </w:pPr>
      <w:r>
        <w:t>Resolution: Core e.l.f. innovation pipeline remains strong (Resolves at earnings (2026-08-05)) — resolves revenue_growth; confirms or challenges</w:t>
      </w:r>
    </w:p>
    <w:p>
      <w:pPr>
        <w:pStyle w:val="ListBullet"/>
      </w:pPr>
      <w:r>
        <w:t>Resolution: Analyst blind spot (Multi-year thesis -- patience required) — resolves general; confirms or challenges</w:t>
      </w:r>
    </w:p>
    <w:p>
      <w:pPr>
        <w:pStyle w:val="ListBullet"/>
      </w:pPr>
      <w:r>
        <w:t>Specific timing and magnitude of tariff refund benefits on pricing strategy (Unknown timing) — resolves multiple; resolves uncertainty</w:t>
      </w:r>
    </w:p>
    <w:p>
      <w:pPr>
        <w:pStyle w:val="ListBullet"/>
      </w:pPr>
      <w:r>
        <w:t>Quantified impact of Rhode channel expansion on brand positioning and pricing power (Unknown timing) — resolves multiple; resolves uncertainty</w:t>
      </w:r>
    </w:p>
    <w:p>
      <w:pPr>
        <w:pStyle w:val="SectionHeading"/>
      </w:pPr>
      <w:r>
        <w:t>5. Risks, Blind Spots &amp; Kill Criteria</w:t>
      </w:r>
    </w:p>
    <w:p>
      <w:pPr>
        <w:pStyle w:val="SubHeading"/>
      </w:pPr>
      <w:r>
        <w:t>Top risks:</w:t>
      </w:r>
    </w:p>
    <w:p>
      <w:pPr>
        <w:pStyle w:val="ListBullet"/>
      </w:pPr>
      <w:r>
        <w:t>Core e.l.f. innovation pipeline remains strong — counter: CEO acknowledged in Q4 2026 call that spring innovation 'missed relative to our own expectations' and required 'focused interventions' including accelerating 'additional innovation that we had previously not planned for FY27 into this fiscal year.' Organic growth decelerated to just 1% in Q4 despite cycling easier comparisons. [serious]</w:t>
      </w:r>
    </w:p>
    <w:p>
      <w:pPr>
        <w:pStyle w:val="ListBullet"/>
      </w:pPr>
      <w:r>
        <w:t>Rhode's premium positioning can sustain explosive growth while integrating into e.l.f.'s mass-market distribution model — counter: Q4 2026 quarterly financials show revenue declined -8.2% Q/Q to $449M despite Rhode contribution, and operating income turned sharply negative to -$50M (-11.2% margin) vs +$44M (13.3% margin) in Q4 2025, suggesting integration challenges are already materializing [serious]</w:t>
      </w:r>
    </w:p>
    <w:p>
      <w:pPr>
        <w:pStyle w:val="ListBullet"/>
      </w:pPr>
      <w:r>
        <w:t>Core e.l.f. brand facing 'recent deceleration' with organic growth assumptions of 3.5% — counter: Q4 2026 results per May 24 news show e.l.f. namesake brand organic growth was only 1%, and this follows a pattern of sequential deceleration visible in quarterly data where Q1 2026 showed +9.0% YoY growth declining to Q4 2026 +35.1% YoY (but that's Rhode-boosted) [serious]</w:t>
      </w:r>
    </w:p>
    <w:p>
      <w:pPr>
        <w:pStyle w:val="SubHeading"/>
      </w:pPr>
      <w:r>
        <w:t>Blind spots (auditor-independent):</w:t>
      </w:r>
    </w:p>
    <w:p>
      <w:pPr>
        <w:pStyle w:val="ListBullet"/>
      </w:pPr>
      <w:r>
        <w:t>Distribution channel conflict: Rhode's premium positioning may be fundamentally incompatible with e.l.f.'s mass-market Walmart/Target distribution strategy</w:t>
      </w:r>
    </w:p>
    <w:p>
      <w:pPr>
        <w:pStyle w:val="ListBullet"/>
      </w:pPr>
      <w:r>
        <w:t>Margin structure deterioration: Q4 operating margin turned negative despite revenue growth, suggesting the Rhode integration is destroying rather than creating value</w:t>
      </w:r>
    </w:p>
    <w:p>
      <w:pPr>
        <w:pStyle w:val="ListBullet"/>
      </w:pPr>
      <w:r>
        <w:t>Consumer macro headwinds: Personal saving rate crashed -52.7% YoY and consumer sentiment down -4.6% YoY, creating headwinds for discretionary beauty spending the analyst doesn't address</w:t>
      </w:r>
    </w:p>
    <w:p>
      <w:pPr>
        <w:pStyle w:val="KillCriteria"/>
      </w:pPr>
      <w:r>
        <w:t>What would change our mind: Unable to close gap: Specific timing and magnitude of tariff refund benefits on pricing strategy</w:t>
      </w:r>
    </w:p>
    <w:p>
      <w:pPr>
        <w:pStyle w:val="SectionHeading"/>
      </w:pPr>
      <w:r>
        <w:t>Appendix</w:t>
      </w:r>
    </w:p>
    <w:p>
      <w:pPr>
        <w:pStyle w:val="SubHeading"/>
      </w:pPr>
      <w:r>
        <w:t>Business context:</w:t>
      </w:r>
    </w:p>
    <w:p>
      <w:r>
        <w:t>e.l.f. Beauty is a mass-market cosmetics company that sells affordable beauty products primarily through retailers like Target, Walmart, and Ulta. The company operates two main brands: the core e.l.f. brand focused on color cosmetics at accessible price points, and the recently acquired Rhode brand (Hailey Bieber's skincare line) which commands premium pricing in the skincare category.</w:t>
      </w:r>
    </w:p>
    <w:p>
      <w:pPr>
        <w:pStyle w:val="SubHeading"/>
      </w:pPr>
      <w:r>
        <w:t>Evidence gaps (research TODO):</w:t>
      </w:r>
    </w:p>
    <w:p>
      <w:pPr>
        <w:pStyle w:val="ListBullet"/>
      </w:pPr>
      <w:r>
        <w:t>Specific timing and magnitude of tariff refund benefits on pricing strategy</w:t>
      </w:r>
    </w:p>
    <w:p>
      <w:pPr>
        <w:pStyle w:val="ListBullet"/>
      </w:pPr>
      <w:r>
        <w:t>Quantified impact of Rhode channel expansion on brand positioning and pricing power</w:t>
      </w:r>
    </w:p>
    <w:p>
      <w:pPr>
        <w:pStyle w:val="ListBullet"/>
      </w:pPr>
      <w:r>
        <w:t>Details on the 'additional innovation' being accelerated into FY27 and its expected contribution</w:t>
      </w:r>
    </w:p>
    <w:p>
      <w:pPr>
        <w:pStyle w:val="ListBullet"/>
      </w:pPr>
      <w:r>
        <w:t>Competitive response to industry-wide pricing actions mentioned by management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