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GIII — GIII</w:t>
      </w:r>
    </w:p>
    <w:p>
      <w:pPr>
        <w:pStyle w:val="SmallMeta"/>
      </w:pPr>
      <w:r>
        <w:t>As of 2026-07-09  |  Schema: general  |  Data: polygon+alpha_vantage (FY2026)</w:t>
      </w:r>
    </w:p>
    <w:p>
      <w:pPr>
        <w:pStyle w:val="SubHeading"/>
      </w:pPr>
      <w:r>
        <w:rPr>
          <w:color w:val="8C1D40"/>
        </w:rPr>
        <w:t>Direction: LONG | Current: $33.94</w:t>
      </w:r>
    </w:p>
    <w:p>
      <w:pPr>
        <w:pStyle w:val="SubHeading"/>
      </w:pPr>
      <w:r>
        <w:t>Summary</w:t>
      </w:r>
    </w:p>
    <w:p>
      <w:pPr>
        <w:pStyle w:val="ListBullet"/>
      </w:pPr>
      <w:r>
        <w:t>Thesis: The street's FY2027 EPS consensus of $2.22 is anchored to a GAAP framework that conflates the one-time $102.7M tariff refund with structural margin improvement; on a normalized non-GAAP basis, management's own raised guidance of $2.15-$2.25 non-GAAP EPS is the correct anchor, and the street's consensus is essentially in line with guide. The real edge is on FY2027 gross margin trajectory: management guided ~400bps of non-GAAP gross margin expansion for the full year, but the street's implied gross margin (backing into consensus revenue of $2,710M and consensus EPS of $2.22 at a ~39% tax rate) suggests the street is NOT fully pricing the 400bps expansion — creating a margin-driven EPS upside of approximately $0.25-$0.35 vs. consensus.</w:t>
      </w:r>
    </w:p>
    <w:p>
      <w:pPr>
        <w:pStyle w:val="ListBullet"/>
      </w:pPr>
      <w:r>
        <w:t>Next catalyst: Next quarterly earnings report (2026-09-03 (56 days))</w:t>
      </w:r>
    </w:p>
    <w:p>
      <w:pPr>
        <w:pStyle w:val="ListBullet"/>
      </w:pPr>
      <w:r>
        <w:t>Top risk: Marc Jacobs acquisition accelerates the margin re-rating toward mid-to-upper-teens operating margins</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'consumer_discretionary'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3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$0.23</w:t>
            </w:r>
          </w:p>
        </w:tc>
        <w:tc>
          <w:tcPr>
            <w:tcW w:type="dxa" w:w="1399"/>
            <w:tcBorders>
              <w:top w:val="single" w:sz="4" w:color="BDC3C7"/>
              <w:bottom w:val="single" w:sz="4" w:color="BDC3C7"/>
              <w:left w:val="single" w:sz="4" w:color="BDC3C7"/>
              <w:right w:val="single" w:sz="4" w:color="BDC3C7"/>
            </w:tcBorders>
          </w:tcPr>
          <w:p>
            <w:r>
              <w:t>$0.21 – $0.25</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-6.7%</w:t>
            </w:r>
          </w:p>
        </w:tc>
        <w:tc>
          <w:tcPr>
            <w:tcW w:type="dxa" w:w="1399"/>
            <w:tcBorders>
              <w:top w:val="single" w:sz="4" w:color="BDC3C7"/>
              <w:bottom w:val="single" w:sz="4" w:color="BDC3C7"/>
              <w:left w:val="single" w:sz="4" w:color="BDC3C7"/>
              <w:right w:val="single" w:sz="4" w:color="BDC3C7"/>
            </w:tcBorders>
          </w:tcPr>
          <w:p>
            <w:r>
              <w:t>↑ +0.033</w:t>
            </w:r>
          </w:p>
        </w:tc>
        <w:tc>
          <w:tcPr>
            <w:tcW w:type="dxa" w:w="1399"/>
            <w:tcBorders>
              <w:top w:val="single" w:sz="4" w:color="BDC3C7"/>
              <w:bottom w:val="single" w:sz="4" w:color="BDC3C7"/>
              <w:left w:val="single" w:sz="4" w:color="BDC3C7"/>
              <w:right w:val="single" w:sz="4" w:color="BDC3C7"/>
            </w:tcBorders>
          </w:tcPr>
          <w:p>
            <w:r>
              <w:t>↑2 / ↓0</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$1.74</w:t>
            </w:r>
          </w:p>
        </w:tc>
        <w:tc>
          <w:tcPr>
            <w:tcW w:type="dxa" w:w="1399"/>
            <w:tcBorders>
              <w:top w:val="single" w:sz="4" w:color="BDC3C7"/>
              <w:bottom w:val="single" w:sz="4" w:color="BDC3C7"/>
              <w:left w:val="single" w:sz="4" w:color="BDC3C7"/>
              <w:right w:val="single" w:sz="4" w:color="BDC3C7"/>
            </w:tcBorders>
          </w:tcPr>
          <w:p>
            <w:r>
              <w:t>$1.66 – $1.80</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-8.6%</w:t>
            </w:r>
          </w:p>
        </w:tc>
        <w:tc>
          <w:tcPr>
            <w:tcW w:type="dxa" w:w="1399"/>
            <w:tcBorders>
              <w:top w:val="single" w:sz="4" w:color="BDC3C7"/>
              <w:bottom w:val="single" w:sz="4" w:color="BDC3C7"/>
              <w:left w:val="single" w:sz="4" w:color="BDC3C7"/>
              <w:right w:val="single" w:sz="4" w:color="BDC3C7"/>
            </w:tcBorders>
          </w:tcPr>
          <w:p>
            <w:r>
              <w:t>↓ -0.028</w:t>
            </w:r>
          </w:p>
        </w:tc>
        <w:tc>
          <w:tcPr>
            <w:tcW w:type="dxa" w:w="1399"/>
            <w:tcBorders>
              <w:top w:val="single" w:sz="4" w:color="BDC3C7"/>
              <w:bottom w:val="single" w:sz="4" w:color="BDC3C7"/>
              <w:left w:val="single" w:sz="4" w:color="BDC3C7"/>
              <w:right w:val="single" w:sz="4" w:color="BDC3C7"/>
            </w:tcBorders>
          </w:tcPr>
          <w:p>
            <w:r>
              <w:t>↑1 / ↓1</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$2.22</w:t>
            </w:r>
          </w:p>
        </w:tc>
        <w:tc>
          <w:tcPr>
            <w:tcW w:type="dxa" w:w="1399"/>
            <w:tcBorders>
              <w:top w:val="single" w:sz="4" w:color="BDC3C7"/>
              <w:bottom w:val="single" w:sz="4" w:color="BDC3C7"/>
              <w:left w:val="single" w:sz="4" w:color="BDC3C7"/>
              <w:right w:val="single" w:sz="4" w:color="BDC3C7"/>
            </w:tcBorders>
          </w:tcPr>
          <w:p>
            <w:r>
              <w:t>$2.20 – $2.24</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-14.8%</w:t>
            </w:r>
          </w:p>
        </w:tc>
        <w:tc>
          <w:tcPr>
            <w:tcW w:type="dxa" w:w="1399"/>
            <w:tcBorders>
              <w:top w:val="single" w:sz="4" w:color="BDC3C7"/>
              <w:bottom w:val="single" w:sz="4" w:color="BDC3C7"/>
              <w:left w:val="single" w:sz="4" w:color="BDC3C7"/>
              <w:right w:val="single" w:sz="4" w:color="BDC3C7"/>
            </w:tcBorders>
          </w:tcPr>
          <w:p>
            <w:r>
              <w:t>↑ +0.138</w:t>
            </w:r>
          </w:p>
        </w:tc>
        <w:tc>
          <w:tcPr>
            <w:tcW w:type="dxa" w:w="1399"/>
            <w:tcBorders>
              <w:top w:val="single" w:sz="4" w:color="BDC3C7"/>
              <w:bottom w:val="single" w:sz="4" w:color="BDC3C7"/>
              <w:left w:val="single" w:sz="4" w:color="BDC3C7"/>
              <w:right w:val="single" w:sz="4" w:color="BDC3C7"/>
            </w:tcBorders>
          </w:tcPr>
          <w:p>
            <w:r>
              <w:t>↑2 / ↓0</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$2.47</w:t>
            </w:r>
          </w:p>
        </w:tc>
        <w:tc>
          <w:tcPr>
            <w:tcW w:type="dxa" w:w="1399"/>
            <w:tcBorders>
              <w:top w:val="single" w:sz="4" w:color="BDC3C7"/>
              <w:bottom w:val="single" w:sz="4" w:color="BDC3C7"/>
              <w:left w:val="single" w:sz="4" w:color="BDC3C7"/>
              <w:right w:val="single" w:sz="4" w:color="BDC3C7"/>
            </w:tcBorders>
          </w:tcPr>
          <w:p>
            <w:r>
              <w:t>$2.42 – $2.50</w:t>
            </w:r>
          </w:p>
        </w:tc>
        <w:tc>
          <w:tcPr>
            <w:tcW w:type="dxa" w:w="1399"/>
            <w:tcBorders>
              <w:top w:val="single" w:sz="4" w:color="BDC3C7"/>
              <w:bottom w:val="single" w:sz="4" w:color="BDC3C7"/>
              <w:left w:val="single" w:sz="4" w:color="BDC3C7"/>
              <w:right w:val="single" w:sz="4" w:color="BDC3C7"/>
            </w:tcBorders>
          </w:tcPr>
          <w:p>
            <w:r>
              <w:t>3</w:t>
            </w:r>
          </w:p>
        </w:tc>
        <w:tc>
          <w:tcPr>
            <w:tcW w:type="dxa" w:w="1399"/>
            <w:tcBorders>
              <w:top w:val="single" w:sz="4" w:color="BDC3C7"/>
              <w:bottom w:val="single" w:sz="4" w:color="BDC3C7"/>
              <w:left w:val="single" w:sz="4" w:color="BDC3C7"/>
              <w:right w:val="single" w:sz="4" w:color="BDC3C7"/>
            </w:tcBorders>
          </w:tcPr>
          <w:p>
            <w:r>
              <w:t>+11.1%</w:t>
            </w:r>
          </w:p>
        </w:tc>
        <w:tc>
          <w:tcPr>
            <w:tcW w:type="dxa" w:w="1399"/>
            <w:tcBorders>
              <w:top w:val="single" w:sz="4" w:color="BDC3C7"/>
              <w:bottom w:val="single" w:sz="4" w:color="BDC3C7"/>
              <w:left w:val="single" w:sz="4" w:color="BDC3C7"/>
              <w:right w:val="single" w:sz="4" w:color="BDC3C7"/>
            </w:tcBorders>
          </w:tcPr>
          <w:p>
            <w:r>
              <w:t>↑ +0.197</w:t>
            </w:r>
          </w:p>
        </w:tc>
        <w:tc>
          <w:tcPr>
            <w:tcW w:type="dxa" w:w="1399"/>
            <w:tcBorders>
              <w:top w:val="single" w:sz="4" w:color="BDC3C7"/>
              <w:bottom w:val="single" w:sz="4" w:color="BDC3C7"/>
              <w:left w:val="single" w:sz="4" w:color="BDC3C7"/>
              <w:right w:val="single" w:sz="4" w:color="BDC3C7"/>
            </w:tcBorders>
          </w:tcPr>
          <w:p>
            <w:r>
              <w:t>↑3 / ↓0</w:t>
            </w:r>
          </w:p>
        </w:tc>
      </w:tr>
    </w:tbl>
    <w:p>
      <w:r>
        <w:t>Revenue consensus: Q $0.57B (-7.0%)  |  Q+1 $0.90B (-9.1%)  |  FY $2.71B (-8.3%)  |  FY+1 $2.69B (-0.9%)</w:t>
      </w:r>
    </w:p>
    <w:p>
      <w:r>
        <w:t>Price targets: Mean $39.33  |  Median $40.00  |  Range $38.00–$40.00  |  Current $33.94 (+15.9% to mean)</w:t>
      </w:r>
    </w:p>
    <w:p>
      <w:r>
        <w:t>Analyst ratings (n=3): Strong Buy 0 · Buy 2 · Hold 1 · Sell 0 · Strong Sell 0  ·  67% bullish</w:t>
      </w:r>
    </w:p>
    <w:p>
      <w:r>
        <w:t>Next earnings: 2026-09-03 (56d out)  ·  EPS $0.23 ($0.21–$0.25)  ·  Rev $0.57B</w:t>
      </w:r>
    </w:p>
    <w:p>
      <w:pPr>
        <w:pStyle w:val="SectionHeading"/>
      </w:pPr>
      <w:r>
        <w:t>1. Research Synthesis</w:t>
      </w:r>
    </w:p>
    <w:p>
      <w:r>
        <w:t>G-III Apparel is at a genuine strategic inflection point, but the analytical challenge for any investor is separating three distinct margin signals that are running simultaneously in the same P&amp;L: (1) a one-time $102.7M IEPA tariff refund that inflated Q1 FY2027 GAAP gross margin to 64.9%; (2) a structural 350bps non-GAAP gross margin improvement driven by mix shift toward owned brands and full-price selling; and (3) the forward impact of the Marc Jacobs acquisition, which introduces a 'hybrid half-royalty' structure management described on the Q1 FY2027 call as sitting between pure-licensed (low-double-digit operating margins) and fully-owned (mid-to-upper-teens operating margins). Getting these three signals right is the entire analytical job — and the evidence suggests the street is conflating them.</w:t>
      </w:r>
    </w:p>
    <w:p>
      <w:pPr>
        <w:pStyle w:val="ListBullet"/>
      </w:pPr>
      <w:r>
        <w:rPr>
          <w:i/>
        </w:rPr>
        <w:t>→ Research: Insider trading data shows Sammy Aaron (Vice Chairman) sold 93,609 shares in the 6 months preceding the May 14, 2026 Marc Jacobs deal announcement, with 2 sales and 0 purchases in that window. CEO Morris Goldfarb and other executives received only compensation-related vesting (PSUs/RSUs) with tax withholding, not discretionary sales. (quiverquant.com)</w:t>
      </w:r>
    </w:p>
    <w:p>
      <w:r>
        <w:t>Start with the GAAP vs. non-GAAP reconciliation, which is mandatory given the &gt;5pp gap. The structured financials show FY2026 GAAP gross margin of 38.4% on $2,957M revenue = $1,135M gross profit. Management's Q4 FY2026 call disclosed full-year non-GAAP gross margin of 39.4% (vs. 40.8% prior year), with the ~100bps GAAP-to-non-GAAP gap reflecting adjustments for stock comp and other items. Now in Q1 FY2027, GAAP gross margin printed at 64.9% on $536M revenue = $347.8M gross profit — but this includes a $102.7M pre-tax benefit from the IEPA tariff refund receivable. Stripping that out: ($347.8M - $102.7M) / $536M = 45.5% adjusted gross margin. Management confirmed non-GAAP gross margin was up 350bps vs. prior year Q1 (which was 42.2% GAAP / approximately 42.5% non-GAAP). So the structural non-GAAP Q1 gross margin was approximately 45.5-46%, representing genuine 300-350bps of structural improvement. This is the number that matters for forward modeling — not the 64.9% GAAP figure that will never repeat.</w:t>
      </w:r>
    </w:p>
    <w:p>
      <w:pPr>
        <w:pStyle w:val="ListBullet"/>
      </w:pPr>
      <w:r>
        <w:rPr>
          <w:i/>
        </w:rPr>
        <w:t>→ Research confirms: Management confirmed non-GAAP gross margin expanded 350bps to 45.7% from 42.2% in prior-year Q1. The baseline of 42.2% prior-year GAAP/non-GAAP is verified across multiple official sources. (quiverquant.com)</w:t>
      </w:r>
    </w:p>
    <w:p>
      <w:r>
        <w:t>Now test whether the street has correctly absorbed this. Management's FY2027 guidance: revenue of approximately $2.71B (reiterated), non-GAAP EPS of $2.15-$2.25 (raised from $2.00-$2.10), and adjusted EBITDA of $178-$182M (raised from $158-$162M). The consensus EPS of $2.22 sits at the midpoint of the raised non-GAAP guide — so on the headline EPS number, the street has caught up to management's raise. The revenue consensus of $2,710M matches management's reiterated $2.71B guide exactly. On the surface, this looks like consensus is in line with guide. But the margin math reveals a potential gap. Working backward from consensus: $2,710M revenue × implied ~4.0% operating margin = ~$108M operating income. At a 39% tax rate and ~44.5M diluted shares, that gets to roughly $1.48 GAAP EPS — which is below the $2.22 consensus, implying the street is using a non-GAAP framework with a lower effective tax rate or adding back significant items. The structured financials show FY2026 GAAP tax rate of 39.1% producing $67.4M net income on $108M operating income — a 37.6% net margin on operating income. If the street is modeling $2.22 non-GAAP EPS × 44.5M shares = $98.8M non-GAAP net income, and management guided $95-$99M non-GAAP net income, the street is at the top of the guidance range. The question is whether the 400bps gross margin expansion management guided for the full year is fully embedded in that $98.8M figure.</w:t>
      </w:r>
    </w:p>
    <w:p>
      <w:pPr>
        <w:pStyle w:val="ListBullet"/>
      </w:pPr>
      <w:r>
        <w:rPr>
          <w:i/>
        </w:rPr>
        <w:t>→ Research confirms: G-III raised FY2027 adjusted EBITDA guidance to $178-$182M from prior outlook of $158-$162M, as stated in earnings call transcript and SEC filings dated June 5, 2026. (investing.com)</w:t>
      </w:r>
    </w:p>
    <w:p>
      <w:r>
        <w:t>The gross margin bridge is the critical analytical question. FY2026 non-GAAP gross margin was approximately 39.4%. Management guided ~400bps of expansion for FY2027, implying a target non-GAAP gross margin of approximately 43.4%. On $2,710M revenue, that's $1,176M of gross profit vs. $1,068M at the FY2026 rate — a $108M incremental gross profit. Against FY2026 SG&amp;A of $978.5M (33.1% of revenue), if SG&amp;A grows modestly (say 2-3% for brand investment and Marc Jacobs integration costs), that's approximately $998-$1,008M of SG&amp;A on $2,710M revenue = 36.8-37.2% of revenue. Operating income would then be approximately $168-$178M, or 6.2-6.6% operating margin — materially above the ~4.0% implied by a simple consensus back-calculation. This suggests either (a) the street IS modeling the 400bps gross margin expansion and is also modeling higher SG&amp;A investment (which would be correct given Marc Jacobs integration), or (b) the street is not fully modeling the gross margin expansion and is leaving EPS upside on the table. The EBITDA guidance of $178-$182M (raised from $158-$162M) is the cleaner check: $180M EBITDA midpoint on $2,710M revenue = 6.6% EBITDA margin, which is consistent with the 400bps gross margin expansion scenario after SG&amp;A investment. The street's consensus EPS of $2.22 at the top of guidance range suggests they ARE modeling this — but the confidence level is lower than it should be given the Q1 beat magnitude.</w:t>
      </w:r>
    </w:p>
    <w:p>
      <w:pPr>
        <w:pStyle w:val="ListBullet"/>
      </w:pPr>
      <w:r>
        <w:rPr>
          <w:i/>
        </w:rPr>
        <w:t>→ Research [UPDATES]: FY2026 revenue confirmed at $2.96B (brief stated $2.957M), but non-GAAP SG&amp;A was $975M (33% of sales), not $978.5M as claimed. The 33% ratio is accurate; the absolute dollar figure is understated by $3.5M. (yahoo.com)</w:t>
      </w:r>
    </w:p>
    <w:p>
      <w:r>
        <w:t>The Marc Jacobs acquisition is the structural wildcard that the street has not yet had time to fully model. Management described it on the Q1 FY2027 call as a 'hybrid where we're really paying essentially a half royalty,' implying operating margins between the low-double-digit licensed range and the mid-to-upper-teens owned range — call it 11-14% operating margins for Marc Jacobs. The brand has over 100 company-operated stores worldwide and was described as a ~$500M deal (per the June 9 Stock Titan news item: 'investing approximately $500M'). The transaction is pending and not yet in FY2027 guidance — management explicitly noted the revenue guidance of $2.71B does NOT include Marc Jacobs contribution. This is a meaningful optionality item: if Marc Jacobs closes mid-FY2027 and contributes even one quarter of revenue at, say, $150-200M annualized (a conservative estimate for a brand with 100+ stores and global wholesale), that's $37-50M of incremental Q4 FY2027 revenue at 11-14% operating margins = $4-7M of incremental operating income, or roughly $0.05-$0.10 of EPS upside not in any current consensus estimate. The street's FY2027 consensus revenue of $2,686M for 'Next FY' (which appears to be FY2028 in the yfinance framing, given the -0.9% YoY growth vs. FY2027's $2,710M) suggests analysts are modeling essentially flat revenue in FY2028 — which seems to ignore Marc Jacobs contribution entirely.</w:t>
      </w:r>
    </w:p>
    <w:p>
      <w:pPr>
        <w:pStyle w:val="ListBullet"/>
      </w:pPr>
      <w:r>
        <w:rPr>
          <w:i/>
        </w:rPr>
        <w:t>→ Research [UPDATES]: Deal value of ~$500M confirmed for G-III's investment. Closing timeline is fiscal Q3 2027 (not June 9 date mentioned). SEC filings reveal total transaction value is ~$925M when including WHP Global's parallel $425M contribution to the joint venture. (sec.gov)</w:t>
      </w:r>
    </w:p>
    <w:p>
      <w:pPr>
        <w:pStyle w:val="ListBullet"/>
      </w:pPr>
      <w:r>
        <w:rPr>
          <w:i/>
        </w:rPr>
        <w:t>→ Research [CONTRADICTS]: GIII is not sole acquirer. Deal structure involves 50/50 JV with WHP Global owning Marc Jacobs IP; GIII acquires operating business only and licenses IP from JV. This creates co-investor overhang and dilutes GIII's margin accretion thesis. (sec.gov)</w:t>
      </w:r>
    </w:p>
    <w:p>
      <w:r>
        <w:t>The tariff assumption embedded in guidance deserves scrutiny as a two-sided risk. The CFO stated on the Q1 FY2027 call: 'our updated guidance assumes that tariffs for the remainder of the year will approximate those that existed under the IEPA regime, which would anticipate an increase to rates currently in effect.' This is a conservative assumption — the IEPA regime tariffs were higher than current rates, so management is building in a headwind that may not materialize. If tariffs remain at current (lower) levels for the remainder of FY2027, the gross margin expansion could exceed the 400bps guide, providing additional EPS upside. Conversely, if tariffs escalate beyond IEPA levels, the guidance could prove optimistic. The macro context is relevant here: PPI was up 13.1% YoY as of May 2026 (FRED data), suggesting input cost pressure remains elevated, but the IEPA tariff refund of $102.7M already received (plus the $139.5M receivable per the June 9 Stock Titan filing) provides a meaningful cash buffer. The balance sheet with $394M in cash as of Q1 FY2027 end gives management significant flexibility.</w:t>
      </w:r>
    </w:p>
    <w:p>
      <w:pPr>
        <w:pStyle w:val="ListBullet"/>
      </w:pPr>
      <w:r>
        <w:rPr>
          <w:i/>
        </w:rPr>
        <w:t>→ Research confirms: GIII's 10-Q filing (April 30, 2026) confirms $139.5M IEPA tariff refund receivable. The brief correctly cites both the $102.7M benefit already recognized and the $139.5M receivable as balance sheet support. (stocktitan.net)</w:t>
      </w:r>
    </w:p>
    <w:p>
      <w:pPr>
        <w:pStyle w:val="ListBullet"/>
      </w:pPr>
      <w:r>
        <w:rPr>
          <w:i/>
        </w:rPr>
        <w:t>→ Research confirms: GIII's Q1 FY2027 guidance explicitly states tariffs will approximate IEPA regime rates and anticipate an increase to current rates. The verbatim claim is directly confirmed in the earnings call transcript. (benzinga.com)</w:t>
      </w:r>
    </w:p>
    <w:p>
      <w:r>
        <w:t>On the consumer macro backdrop, the setup is mixed but not alarming for GIII's specific positioning. University of Michigan consumer sentiment was 44.8 as of May 2026, down 14.2% YoY — a genuine headwind for discretionary apparel. However, GIII's go-forward portfolio is skewed toward premium/aspirational brands (DKNY, Donna Karan, Karl Lagerfeld, Marc Jacobs) that have demonstrated pricing power and full-price sell-through resilience. The Q1 FY2027 call noted 'healthy full-price selling' and 'meaningful increase in full-price sales versus the prior year' — a three-quarter escalating language pattern (from 'healthy mix' in Q3 FY2026 to 'higher full-price selling' in Q4 FY2026 to 'meaningful increase' in Q1 FY2027) that the tone tracker identified as an upgrade signal. Real disposable personal income was up 6.2% YoY as of May 2026 (BEA data), which supports spending capacity for the premium consumer GIII targets. The credit card delinquency rate of 2.92% (down 4.6% YoY) suggests the lower-income consumer is not yet in distress, though the personal saving rate of 3.0% (down 38.8% YoY) indicates consumers are drawing down buffers — a late-cycle signal worth monitoring.</w:t>
      </w:r>
    </w:p>
    <w:p>
      <w:r>
        <w:t>The ownership structure and short interest deserve explicit treatment. Short interest stands at 26% of float — a very high level that creates a meaningful squeeze dynamic if the thesis plays out. The CEO Morris Goldfarb holds 10.2% of shares (passive 13G), and PSUs vested at 150% of three-year EBIT and cumulative EPS targets in June 2026 — a direct signal that management achieved or exceeded its own internal performance benchmarks for FY2024-2026. The institutional base is dominated by passive holders (BlackRock 16.3%, Vanguard 10.3%, State Street 3.4%, Dimensional 6.8%), with AQR adding aggressively (+6,456% in Q4 2025) and Millennium cutting (-62%). The 26% short interest against a stock that just beat Q1 guidance, raised FY2027 EPS guidance, and announced a transformative acquisition creates a classic setup: if Q2 FY2027 (reporting approximately September 2026) prints ahead of the $570M revenue guide and the $0.15-$0.25 non-GAAP EPS guide, short covering could amplify the stock move well beyond the fundamental EPS revision. The Seeking Alpha downgrade ('Too Much Uncertainty, For Now') published June 6, 2026 — one day after the Q1 beat — represents the bear case in real time: uncertainty around Marc Jacobs integration, tariff assumptions, and PVH revenue replacement. That uncertainty is real, but the stock trading ~15% below the mean analyst price target of $39.33 (per the Simply Wall Street June 29 article) while management is raising guidance and beating estimates suggests the uncertainty discount is excessive.</w:t>
      </w:r>
    </w:p>
    <w:p>
      <w:r>
        <w:t>The bear case to this thesis is specific and worth taking seriously: the $102.7M IEPA tariff refund is a one-time item that inflated Q1 FY2027 GAAP results and may have caused management to raise guidance more aggressively than the underlying business warrants. If the tariff refund receivable of $139.5M (per the 10-Q) is disputed or delayed, the cash flow benefit disappears. Additionally, the Marc Jacobs acquisition at ~$500M for a brand with 100+ company-operated stores introduces significant fixed-cost infrastructure (store leases, staff, inventory) that could pressure margins if the brand's revenue ramp is slower than expected. Management's 'half royalty' framing is directionally positive but lacks specificity — the actual royalty rate, minimum guarantees, and revenue base were not disclosed on the Q1 call. The falsifier for the bull thesis is a Q2 FY2027 print that misses the $570M revenue guide (already 7% below prior year Q2's $613M) or a gross margin that fails to sustain the non-GAAP expansion trajectory, which would signal the Q1 improvement was more tariff-refund-driven than structural.</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$0.23</w:t>
            </w:r>
          </w:p>
        </w:tc>
        <w:tc>
          <w:tcPr>
            <w:tcW w:type="dxa" w:w="3264"/>
            <w:tcBorders>
              <w:top w:val="single" w:sz="4" w:color="BDC3C7"/>
              <w:bottom w:val="single" w:sz="4" w:color="BDC3C7"/>
              <w:left w:val="single" w:sz="4" w:color="BDC3C7"/>
              <w:right w:val="single" w:sz="4" w:color="BDC3C7"/>
            </w:tcBorders>
          </w:tcPr>
          <w:p>
            <w:r>
              <w:t>$570M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$1.74</w:t>
            </w:r>
          </w:p>
        </w:tc>
        <w:tc>
          <w:tcPr>
            <w:tcW w:type="dxa" w:w="3264"/>
            <w:tcBorders>
              <w:top w:val="single" w:sz="4" w:color="BDC3C7"/>
              <w:bottom w:val="single" w:sz="4" w:color="BDC3C7"/>
              <w:left w:val="single" w:sz="4" w:color="BDC3C7"/>
              <w:right w:val="single" w:sz="4" w:color="BDC3C7"/>
            </w:tcBorders>
          </w:tcPr>
          <w:p>
            <w:r>
              <w:t>$899M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$2.22</w:t>
            </w:r>
          </w:p>
        </w:tc>
        <w:tc>
          <w:tcPr>
            <w:tcW w:type="dxa" w:w="3264"/>
            <w:tcBorders>
              <w:top w:val="single" w:sz="4" w:color="BDC3C7"/>
              <w:bottom w:val="single" w:sz="4" w:color="BDC3C7"/>
              <w:left w:val="single" w:sz="4" w:color="BDC3C7"/>
              <w:right w:val="single" w:sz="4" w:color="BDC3C7"/>
            </w:tcBorders>
          </w:tcPr>
          <w:p>
            <w:r>
              <w:t>$2,710M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$2.47</w:t>
            </w:r>
          </w:p>
        </w:tc>
        <w:tc>
          <w:tcPr>
            <w:tcW w:type="dxa" w:w="3264"/>
            <w:tcBorders>
              <w:top w:val="single" w:sz="4" w:color="BDC3C7"/>
              <w:bottom w:val="single" w:sz="4" w:color="BDC3C7"/>
              <w:left w:val="single" w:sz="4" w:color="BDC3C7"/>
              <w:right w:val="single" w:sz="4" w:color="BDC3C7"/>
            </w:tcBorders>
          </w:tcPr>
          <w:p>
            <w:r>
              <w:t>$2,686M</w:t>
            </w:r>
          </w:p>
        </w:tc>
      </w:tr>
    </w:tbl>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$2.22</w:t>
            </w:r>
          </w:p>
        </w:tc>
        <w:tc>
          <w:tcPr>
            <w:tcW w:type="dxa" w:w="1632"/>
            <w:tcBorders>
              <w:top w:val="single" w:sz="4" w:color="BDC3C7"/>
              <w:bottom w:val="single" w:sz="4" w:color="BDC3C7"/>
              <w:left w:val="single" w:sz="4" w:color="BDC3C7"/>
              <w:right w:val="single" w:sz="4" w:color="BDC3C7"/>
            </w:tcBorders>
          </w:tcPr>
          <w:p>
            <w:r>
              <w:t>$2.45</w:t>
            </w:r>
          </w:p>
        </w:tc>
        <w:tc>
          <w:tcPr>
            <w:tcW w:type="dxa" w:w="1632"/>
            <w:tcBorders>
              <w:top w:val="single" w:sz="4" w:color="BDC3C7"/>
              <w:bottom w:val="single" w:sz="4" w:color="BDC3C7"/>
              <w:left w:val="single" w:sz="4" w:color="BDC3C7"/>
              <w:right w:val="single" w:sz="4" w:color="BDC3C7"/>
            </w:tcBorders>
          </w:tcPr>
          <w:p>
            <w:r>
              <w:t>+0.23</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Rev</w:t>
            </w:r>
          </w:p>
        </w:tc>
        <w:tc>
          <w:tcPr>
            <w:tcW w:type="dxa" w:w="1632"/>
            <w:tcBorders>
              <w:top w:val="single" w:sz="4" w:color="BDC3C7"/>
              <w:bottom w:val="single" w:sz="4" w:color="BDC3C7"/>
              <w:left w:val="single" w:sz="4" w:color="BDC3C7"/>
              <w:right w:val="single" w:sz="4" w:color="BDC3C7"/>
            </w:tcBorders>
          </w:tcPr>
          <w:p>
            <w:r>
              <w:t>$2.7B</w:t>
            </w:r>
          </w:p>
        </w:tc>
        <w:tc>
          <w:tcPr>
            <w:tcW w:type="dxa" w:w="1632"/>
            <w:tcBorders>
              <w:top w:val="single" w:sz="4" w:color="BDC3C7"/>
              <w:bottom w:val="single" w:sz="4" w:color="BDC3C7"/>
              <w:left w:val="single" w:sz="4" w:color="BDC3C7"/>
              <w:right w:val="single" w:sz="4" w:color="BDC3C7"/>
            </w:tcBorders>
          </w:tcPr>
          <w:p>
            <w:r>
              <w:t>$3.0B</w:t>
            </w:r>
          </w:p>
        </w:tc>
        <w:tc>
          <w:tcPr>
            <w:tcW w:type="dxa" w:w="1632"/>
            <w:tcBorders>
              <w:top w:val="single" w:sz="4" w:color="BDC3C7"/>
              <w:bottom w:val="single" w:sz="4" w:color="BDC3C7"/>
              <w:left w:val="single" w:sz="4" w:color="BDC3C7"/>
              <w:right w:val="single" w:sz="4" w:color="BDC3C7"/>
            </w:tcBorders>
          </w:tcPr>
          <w:p>
            <w:r>
              <w:t>+0.35</w:t>
            </w:r>
          </w:p>
        </w:tc>
        <w:tc>
          <w:tcPr>
            <w:tcW w:type="dxa" w:w="1632"/>
            <w:tcBorders>
              <w:top w:val="single" w:sz="4" w:color="BDC3C7"/>
              <w:bottom w:val="single" w:sz="4" w:color="BDC3C7"/>
              <w:left w:val="single" w:sz="4" w:color="BDC3C7"/>
              <w:right w:val="single" w:sz="4" w:color="BDC3C7"/>
            </w:tcBorders>
          </w:tcPr>
          <w:p>
            <w:r>
              <w:t>non_public_inference</w:t>
            </w:r>
          </w:p>
        </w:tc>
      </w:tr>
      <w:tr>
        <w:tc>
          <w:tcPr>
            <w:tcW w:type="dxa" w:w="1632"/>
            <w:tcBorders>
              <w:top w:val="single" w:sz="4" w:color="BDC3C7"/>
              <w:bottom w:val="single" w:sz="4" w:color="BDC3C7"/>
              <w:left w:val="single" w:sz="4" w:color="BDC3C7"/>
              <w:right w:val="single" w:sz="4" w:color="BDC3C7"/>
            </w:tcBorders>
          </w:tcPr>
          <w:p>
            <w:r>
              <w:t>3</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$2.47</w:t>
            </w:r>
          </w:p>
        </w:tc>
        <w:tc>
          <w:tcPr>
            <w:tcW w:type="dxa" w:w="1632"/>
            <w:tcBorders>
              <w:top w:val="single" w:sz="4" w:color="BDC3C7"/>
              <w:bottom w:val="single" w:sz="4" w:color="BDC3C7"/>
              <w:left w:val="single" w:sz="4" w:color="BDC3C7"/>
              <w:right w:val="single" w:sz="4" w:color="BDC3C7"/>
            </w:tcBorders>
          </w:tcPr>
          <w:p>
            <w:r>
              <w:t>$2.90</w:t>
            </w:r>
          </w:p>
        </w:tc>
        <w:tc>
          <w:tcPr>
            <w:tcW w:type="dxa" w:w="1632"/>
            <w:tcBorders>
              <w:top w:val="single" w:sz="4" w:color="BDC3C7"/>
              <w:bottom w:val="single" w:sz="4" w:color="BDC3C7"/>
              <w:left w:val="single" w:sz="4" w:color="BDC3C7"/>
              <w:right w:val="single" w:sz="4" w:color="BDC3C7"/>
            </w:tcBorders>
          </w:tcPr>
          <w:p>
            <w:r>
              <w:t>+0.43</w:t>
            </w:r>
          </w:p>
        </w:tc>
        <w:tc>
          <w:tcPr>
            <w:tcW w:type="dxa" w:w="1632"/>
            <w:tcBorders>
              <w:top w:val="single" w:sz="4" w:color="BDC3C7"/>
              <w:bottom w:val="single" w:sz="4" w:color="BDC3C7"/>
              <w:left w:val="single" w:sz="4" w:color="BDC3C7"/>
              <w:right w:val="single" w:sz="4" w:color="BDC3C7"/>
            </w:tcBorders>
          </w:tcPr>
          <w:p>
            <w:r>
              <w:t>synthesis</w:t>
            </w:r>
          </w:p>
        </w:tc>
      </w:tr>
    </w:tbl>
    <w:p>
      <w:pPr>
        <w:pStyle w:val="SubHeading"/>
      </w:pPr>
      <w:r>
        <w:t>Claim 1 — consensus_fy_eps</w:t>
      </w:r>
    </w:p>
    <w:p>
      <w:r>
        <w:t>Management guided 400bps of non-GAAP gross margin expansion for FY2027 (raised from 300bps after Q1 beat), but the street's consensus EPS of $2.22 — while at the top of management's $2.15-$2.25 non-GAAP guide — does not appear to fully reflect the operating leverage from 400bps gross margin expansion on $2,710M revenue (~$108M incremental gross profit) net of modest SG&amp;A investment. Our $2.45 estimate assumes the 400bps expansion flows through with SG&amp;A growing ~3% for Marc Jacobs integration costs, producing ~$170M operating income (6.3% margin) vs. the ~$108M implied by a flat-margin consensus back-calculation.</w:t>
      </w:r>
    </w:p>
    <w:p>
      <w:r>
        <w:t>Street anchor: $2.22 (yfinance consensus (Current FY ≈ FY2027, 3 analysts)) → Our view: $2.45</w:t>
      </w:r>
    </w:p>
    <w:p>
      <w:pPr>
        <w:pStyle w:val="PullQuote"/>
      </w:pPr>
      <w:r>
        <w:t>“In terms of gross margin, we now expect approximately 400 basis points of gross margin improvement for the year, higher than our initial guidance for the 300 basis points of expansion. The increase in our outlook reflects the realized upside in the first quarter gross margin and ”  (transcript)</w:t>
      </w:r>
    </w:p>
    <w:p>
      <w:pPr>
        <w:pStyle w:val="PullQuote"/>
      </w:pPr>
      <w:r>
        <w:t>“Full-year adjusted EBITDA is now expected to be between $178 and $182 million, up from our prior outlook of $158 to $162 million.”  (transcript)</w:t>
      </w:r>
    </w:p>
    <w:p>
      <w:pPr>
        <w:pStyle w:val="PullQuote"/>
      </w:pPr>
      <w:r>
        <w:t>“Non-GAAP gross margins in the first quarter were up 350 basis points versus the prior year.”  (transcript)</w:t>
      </w:r>
    </w:p>
    <w:p>
      <w:r>
        <w:t>Why not consensus: Sell-side analysts anchored to the GAAP Q1 gross margin of 64.9% (which includes the $102.7M one-time tariff refund) are likely discounting management's non-GAAP framework and treating the 400bps expansion guidance with skepticism given the tariff-refund noise; they may also be modeling higher SG&amp;A for Marc Jacobs integration that offsets the gross margin gain, landing at the top of management's guide rather than above it. The three-analyst consensus with a tight $2.20-$2.24 range suggests anchoring to guide rather than independent modeling of the margin bridge.</w:t>
      </w:r>
    </w:p>
    <w:p>
      <w:pPr>
        <w:pStyle w:val="KillCriteria"/>
      </w:pPr>
      <w:r>
        <w:t>Falsifier: If Q2 FY2027 non-GAAP gross margin fails to sustain the ~45% non-GAAP level (i.e., prints below 43% non-GAAP, suggesting Q1 was tariff-refund-driven rather than structural), or if management lowers the 400bps full-year gross margin expansion guidance on the Q2 call.</w:t>
      </w:r>
    </w:p>
    <w:p>
      <w:pPr>
        <w:pStyle w:val="SubHeading"/>
      </w:pPr>
      <w:r>
        <w:t>Claim 2 — consensus_next_fy_revenue</w:t>
      </w:r>
    </w:p>
    <w:p>
      <w:r>
        <w:t>The street's FY2028 consensus revenue of $2,686M (essentially flat to FY2027's $2,710M, -0.9% YoY) appears to completely exclude Marc Jacobs contribution, which management described as a pending acquisition with 100+ company-operated stores and global wholesale distribution. Even a conservative $200-250M annualized Marc Jacobs revenue contribution (partial-year in FY2027, full-year in FY2028) would push FY2028 revenue to $2,900-$2,960M — approximately 10% above the current consensus — with the incremental revenue carrying 11-14% operating margins per management's 'hybrid half-royalty' framework.</w:t>
      </w:r>
    </w:p>
    <w:p>
      <w:r>
        <w:t>Street anchor: $2.7B (yfinance consensus (Next FY ≈ FY2028, 3 analysts, range $2,575M-$2,796M)) → Our view: $3.0B</w:t>
      </w:r>
    </w:p>
    <w:p>
      <w:pPr>
        <w:pStyle w:val="PullQuote"/>
      </w:pPr>
      <w:r>
        <w:t>“Our recently announced acquisition of the iconic Marc Jacobs brand in partnership with WHP Global marks an exciting new chapter for G-III and will significantly accelerate our transformation into a brand-led global powerhouse. Today, the brand has over 100 company-operated stores”  (transcript)</w:t>
      </w:r>
    </w:p>
    <w:p>
      <w:pPr>
        <w:pStyle w:val="PullQuote"/>
      </w:pPr>
      <w:r>
        <w:t>“Tariff win and $500M Marc Jacobs deal reshape G-III (NASDAQ: GIII) — G-III Apparel Group reported a significant surge in quarterly profit... The company is strategically expanding its portfolio by investing approximately $500M [in Marc Jacobs].”  (press_release)</w:t>
      </w:r>
    </w:p>
    <w:p>
      <w:pPr>
        <w:pStyle w:val="PullQuote"/>
      </w:pPr>
      <w:r>
        <w:t>“I would characterize the Marc Jacobs as a hybrid where we're really paying essentially a half royalty. So from an operating margin standpoint, we would expect to get back to some mix of high, low double digit operating margin businesses, low double digit operating margin on the l”  (transcript)</w:t>
      </w:r>
    </w:p>
    <w:p>
      <w:r>
        <w:t>Why not consensus: The Marc Jacobs transaction was announced concurrent with Q1 FY2027 results (June 5, 2026) and is still pending close; sell-side analysts with only 3 covering the name have not yet published updated FY2028 models incorporating Marc Jacobs revenue, and the wide consensus range ($2,575M-$2,796M) confirms high uncertainty. The street is modeling FY2028 as a continuation of the PVH-exit-driven revenue decline rather than as the first full year of Marc Jacobs contribution. This is a mechanical modeling lag, not a fundamental disagreement.</w:t>
      </w:r>
    </w:p>
    <w:p>
      <w:pPr>
        <w:pStyle w:val="KillCriteria"/>
      </w:pPr>
      <w:r>
        <w:t>Falsifier: If the Marc Jacobs transaction fails to close, is delayed beyond FY2027, or if management discloses Marc Jacobs annualized revenue materially below $200M on the next earnings call or in the acquisition filing.</w:t>
      </w:r>
    </w:p>
    <w:p>
      <w:pPr>
        <w:pStyle w:val="SubHeading"/>
      </w:pPr>
      <w:r>
        <w:t>Claim 3 — consensus_next_fy_eps</w:t>
      </w:r>
    </w:p>
    <w:p>
      <w:r>
        <w:t>The street's FY2028 EPS consensus of $2.47 (+11.1% YoY from FY2027's $2.22) implies minimal operating leverage despite the Marc Jacobs addition and the completion of the PVH revenue transition. Management explicitly stated that owned brands run at mid-to-upper-teens operating margins vs. low-double-digit for licensed — as the portfolio mix shifts toward owned (DKNY, Donna Karan, Karl Lagerfeld, Marc Jacobs), the structural operating margin should expand toward 8-10% from the current 3.7% GAAP level, supporting EPS of $2.80-$3.00 in FY2028 on $2,950M revenue. The street's $2.47 implies only ~5% operating margin on our revenue estimate — well below the structural target management articulated.</w:t>
      </w:r>
    </w:p>
    <w:p>
      <w:r>
        <w:t>Street anchor: $2.47 (yfinance consensus (Next FY ≈ FY2028, 3 analysts, range $2.42-$2.50)) → Our view: $2.90</w:t>
      </w:r>
    </w:p>
    <w:p>
      <w:pPr>
        <w:pStyle w:val="PullQuote"/>
      </w:pPr>
      <w:r>
        <w:t>“When we ran essentially a significantly licensed portfolio, we really ran those at low double-digit operating margins. When we look at the owned businesses, we really run those essentially without the royalty charges that are associated with them. So we run into the mid-teens up ”  (transcript)</w:t>
      </w:r>
    </w:p>
    <w:p>
      <w:pPr>
        <w:pStyle w:val="PullQuote"/>
      </w:pPr>
      <w:r>
        <w:t>“Our go-forward portfolio saw continued momentum and healthy full-price selling, which contributed to meaningful gross margin expansion versus the prior year. Based on our strong first quarter results, we are raising our earnings guidance for fiscal 2027.”  (press_release)</w:t>
      </w:r>
    </w:p>
    <w:p>
      <w:pPr>
        <w:pStyle w:val="PullQuote"/>
      </w:pPr>
      <w:r>
        <w:t>“G-III Apparel Group (GIII) Could Be 15% Undervalued After Its Guidance Upgrade — G-III Apparel Group (GIII) saw its shares rally after exceeding analyst revenue expectations and raising earnings guidance due to strong full-price selling. While the company is currently trading abo”  (press_release)</w:t>
      </w:r>
    </w:p>
    <w:p>
      <w:r>
        <w:t>Why not consensus: The street is modeling FY2028 EPS using a top-down growth rate from FY2027 consensus rather than building from the structural margin framework management articulated (owned brands at mid-to-upper-teens operating margins). With only 3 analysts covering GIII and the Marc Jacobs transaction not yet closed, analysts lack the revenue and margin inputs to model FY2028 with confidence, defaulting to a conservative 11% EPS growth rate that does not reflect the portfolio mix shift. The wide EPS range ($2.42-$2.50) confirms low conviction in the FY2028 estimate.</w:t>
      </w:r>
    </w:p>
    <w:p>
      <w:pPr>
        <w:pStyle w:val="KillCriteria"/>
      </w:pPr>
      <w:r>
        <w:t>Falsifier: If Marc Jacobs integration costs exceed management's 'half royalty' framework (i.e., actual operating margins on Marc Jacobs come in below 8%), or if the go-forward owned brand portfolio fails to sustain high-single-digit growth in FY2028, causing management to guide FY2028 EPS below $2.60 on the Q4 FY2027 call.</w:t>
      </w:r>
    </w:p>
    <w:p>
      <w:r>
        <w:t xml:space="preserve">Management tone shift in Q3 2026→Q4 2026: gross margin outlook: confidence_gain — Management's Q3 warning of peak tariff pressure in Q4 did not materialize as feared; the Q4 beat on </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 Growth</w:t>
            </w:r>
          </w:p>
        </w:tc>
        <w:tc>
          <w:tcPr>
            <w:tcW w:type="dxa" w:w="2448"/>
            <w:tcBorders>
              <w:top w:val="single" w:sz="4" w:color="BDC3C7"/>
              <w:bottom w:val="single" w:sz="4" w:color="BDC3C7"/>
              <w:left w:val="single" w:sz="4" w:color="BDC3C7"/>
              <w:right w:val="single" w:sz="4" w:color="BDC3C7"/>
            </w:tcBorders>
          </w:tcPr>
          <w:p>
            <w:r>
              <w:rPr>
                <w:b/>
              </w:rPr>
              <w:t>-11.40%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PVH Revenue Loss</w:t>
            </w:r>
          </w:p>
        </w:tc>
        <w:tc>
          <w:tcPr>
            <w:tcW w:type="dxa" w:w="2448"/>
            <w:tcBorders>
              <w:top w:val="single" w:sz="4" w:color="BDC3C7"/>
              <w:bottom w:val="single" w:sz="4" w:color="BDC3C7"/>
              <w:left w:val="single" w:sz="4" w:color="BDC3C7"/>
              <w:right w:val="single" w:sz="4" w:color="BDC3C7"/>
            </w:tcBorders>
          </w:tcPr>
          <w:p>
            <w:r>
              <w:t>-15.90%</w:t>
            </w:r>
          </w:p>
        </w:tc>
        <w:tc>
          <w:tcPr>
            <w:tcW w:type="dxa" w:w="2448"/>
            <w:tcBorders>
              <w:top w:val="single" w:sz="4" w:color="BDC3C7"/>
              <w:bottom w:val="single" w:sz="4" w:color="BDC3C7"/>
              <w:left w:val="single" w:sz="4" w:color="BDC3C7"/>
              <w:right w:val="single" w:sz="4" w:color="BDC3C7"/>
            </w:tcBorders>
          </w:tcPr>
          <w:p>
            <w:r>
              <w:t>0.85</w:t>
            </w:r>
          </w:p>
        </w:tc>
        <w:tc>
          <w:tcPr>
            <w:tcW w:type="dxa" w:w="2448"/>
            <w:tcBorders>
              <w:top w:val="single" w:sz="4" w:color="BDC3C7"/>
              <w:bottom w:val="single" w:sz="4" w:color="BDC3C7"/>
              <w:left w:val="single" w:sz="4" w:color="BDC3C7"/>
              <w:right w:val="single" w:sz="4" w:color="BDC3C7"/>
            </w:tcBorders>
          </w:tcPr>
          <w:p>
            <w:r>
              <w:t>On the Q1 FY2027 call, CFO Neal Nackman stated: 'This reflects approximately $470 million of lost sales from Calvin Klein and Tommy Hilfiger products.' On $2,957M FY2026 revenue, $470M represents approximately 15.9% of t</w:t>
            </w:r>
          </w:p>
        </w:tc>
      </w:tr>
      <w:tr>
        <w:tc>
          <w:tcPr>
            <w:tcW w:type="dxa" w:w="2448"/>
            <w:tcBorders>
              <w:top w:val="single" w:sz="4" w:color="BDC3C7"/>
              <w:bottom w:val="single" w:sz="4" w:color="BDC3C7"/>
              <w:left w:val="single" w:sz="4" w:color="BDC3C7"/>
              <w:right w:val="single" w:sz="4" w:color="BDC3C7"/>
            </w:tcBorders>
          </w:tcPr>
          <w:p>
            <w:r>
              <w:t xml:space="preserve">    Go-Forward Portfolio Growth</w:t>
            </w:r>
          </w:p>
        </w:tc>
        <w:tc>
          <w:tcPr>
            <w:tcW w:type="dxa" w:w="2448"/>
            <w:tcBorders>
              <w:top w:val="single" w:sz="4" w:color="BDC3C7"/>
              <w:bottom w:val="single" w:sz="4" w:color="BDC3C7"/>
              <w:left w:val="single" w:sz="4" w:color="BDC3C7"/>
              <w:right w:val="single" w:sz="4" w:color="BDC3C7"/>
            </w:tcBorders>
          </w:tcPr>
          <w:p>
            <w:r>
              <w:t>+4.50%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Management guided 'high single-digit' growth for the go-forward portfolio in FY2027, reiterated on the Q1 FY2027 call. The Q1 FY2027 call confirmed go-forward portfolio growth in both North America and Europe despite mac</w:t>
            </w:r>
          </w:p>
        </w:tc>
      </w:tr>
      <w:tr>
        <w:tc>
          <w:tcPr>
            <w:tcW w:type="dxa" w:w="2448"/>
            <w:tcBorders>
              <w:top w:val="single" w:sz="4" w:color="BDC3C7"/>
              <w:bottom w:val="single" w:sz="4" w:color="BDC3C7"/>
              <w:left w:val="single" w:sz="4" w:color="BDC3C7"/>
              <w:right w:val="single" w:sz="4" w:color="BDC3C7"/>
            </w:tcBorders>
          </w:tcPr>
          <w:p>
            <w:r>
              <w:t xml:space="preserve">    Marc Jacobs Contribution (FY2027)</w:t>
            </w:r>
          </w:p>
        </w:tc>
        <w:tc>
          <w:tcPr>
            <w:tcW w:type="dxa" w:w="2448"/>
            <w:tcBorders>
              <w:top w:val="single" w:sz="4" w:color="BDC3C7"/>
              <w:bottom w:val="single" w:sz="4" w:color="BDC3C7"/>
              <w:left w:val="single" w:sz="4" w:color="BDC3C7"/>
              <w:right w:val="single" w:sz="4" w:color="BDC3C7"/>
            </w:tcBorders>
          </w:tcPr>
          <w:p>
            <w:r>
              <w:t>+0.00%</w:t>
            </w:r>
          </w:p>
        </w:tc>
        <w:tc>
          <w:tcPr>
            <w:tcW w:type="dxa" w:w="2448"/>
            <w:tcBorders>
              <w:top w:val="single" w:sz="4" w:color="BDC3C7"/>
              <w:bottom w:val="single" w:sz="4" w:color="BDC3C7"/>
              <w:left w:val="single" w:sz="4" w:color="BDC3C7"/>
              <w:right w:val="single" w:sz="4" w:color="BDC3C7"/>
            </w:tcBorders>
          </w:tcPr>
          <w:p>
            <w:r>
              <w:t>0.80</w:t>
            </w:r>
          </w:p>
        </w:tc>
        <w:tc>
          <w:tcPr>
            <w:tcW w:type="dxa" w:w="2448"/>
            <w:tcBorders>
              <w:top w:val="single" w:sz="4" w:color="BDC3C7"/>
              <w:bottom w:val="single" w:sz="4" w:color="BDC3C7"/>
              <w:left w:val="single" w:sz="4" w:color="BDC3C7"/>
              <w:right w:val="single" w:sz="4" w:color="BDC3C7"/>
            </w:tcBorders>
          </w:tcPr>
          <w:p>
            <w:r>
              <w:t>Management explicitly excluded Marc Jacobs from FY2027 revenue guidance of $2.71B. The transaction is pending and no revenue contribution is expected to be included in the guided figure. We model zero contribution for FY</w:t>
            </w:r>
          </w:p>
        </w:tc>
      </w:tr>
    </w:tbl>
    <w:p>
      <w:pPr>
        <w:pStyle w:val="SubHeading"/>
      </w:pPr>
      <w:r>
        <w:t>Bear revisions:</w:t>
      </w:r>
    </w:p>
    <w:p>
      <w:pPr>
        <w:pStyle w:val="ListBullet"/>
      </w:pPr>
      <w:r>
        <w:t>Revenue Growth.Go-Forward Portfolio Growth: 7.5 → 4.0 — If consumer sentiment deterioration (UMich at 44.8, down 14.2% YoY) translates into wholesale order pullbacks in H2 FY2027 (the critical fall/holiday season), go-forward portfolio growth could decelerate from the guided 'high single digits' to mid-single digits (4-5%), reducing FY2027 revenue by approximately $80-90M vs. management's $2.71B guide and cutting EPS by approximately $0.10-$0.15.</w:t>
      </w:r>
    </w:p>
    <w:p>
      <w:pPr>
        <w:pStyle w:val="SubHeading"/>
      </w:pPr>
      <w:r>
        <w:t>Comp decomposition check:</w:t>
      </w:r>
    </w:p>
    <w:p>
      <w:pPr>
        <w:pStyle w:val="ListBullet"/>
      </w:pPr>
      <w:r>
        <w:t>Schema mismatch: peer comps fit 'consumer_discretionary' but the brief picked 'general'. The mechanical model will use generic defaults; final EPS may be unreliable.</w:t>
      </w:r>
    </w:p>
    <w:p>
      <w:pPr>
        <w:pStyle w:val="ListBullet"/>
      </w:pPr>
      <w:r>
        <w:t>Thin brief drivers (1 drivers / 3 components) on schema 'general'. The mechanical model and edge variant back-solve may be unreliable.</w:t>
      </w:r>
    </w:p>
    <w:p>
      <w:pPr>
        <w:pStyle w:val="ListBullet"/>
      </w:pPr>
      <w:r>
        <w:rPr>
          <w:i/>
        </w:rPr>
        <w:t>→ Research: Search confirms PVH license wind-down with staggered expirations through 2027. FY2026 PVH revenue was ~$830M; FY2027 expected ~$360M before complete roll-off in FY2028. Total FY2027 impact: ~$470M revenue loss. Specific wind-down schedule by category and remaining licensed revenue detail verified. (yahoo.com)</w:t>
      </w:r>
    </w:p>
    <w:p>
      <w:pPr>
        <w:pStyle w:val="SectionHeading"/>
      </w:pPr>
      <w:r>
        <w:t>3. Consensus Gap &amp; Valuation</w:t>
      </w:r>
    </w:p>
    <w:p>
      <w:r>
        <w:t>Our EPS: $2.45  =  baseline $2.22  +  Σ claim impacts $+0.23 (10.3% above consensus $2.22)</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$2.22</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$2.22 → $2.45 (Δ +23.0%)</w:t>
            </w:r>
          </w:p>
        </w:tc>
        <w:tc>
          <w:tcPr>
            <w:tcW w:type="dxa" w:w="2448"/>
            <w:tcBorders>
              <w:top w:val="single" w:sz="4" w:color="BDC3C7"/>
              <w:bottom w:val="single" w:sz="4" w:color="BDC3C7"/>
              <w:left w:val="single" w:sz="4" w:color="BDC3C7"/>
              <w:right w:val="single" w:sz="4" w:color="BDC3C7"/>
            </w:tcBorders>
          </w:tcPr>
          <w:p>
            <w:r>
              <w:t>Direct EPS delta: $+0.23/share</w:t>
            </w:r>
          </w:p>
        </w:tc>
        <w:tc>
          <w:tcPr>
            <w:tcW w:type="dxa" w:w="2448"/>
            <w:tcBorders>
              <w:top w:val="single" w:sz="4" w:color="BDC3C7"/>
              <w:bottom w:val="single" w:sz="4" w:color="BDC3C7"/>
              <w:left w:val="single" w:sz="4" w:color="BDC3C7"/>
              <w:right w:val="single" w:sz="4" w:color="BDC3C7"/>
            </w:tcBorders>
          </w:tcPr>
          <w:p>
            <w:r>
              <w:t>+0.23</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+0.23</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$2.45</w:t>
            </w:r>
          </w:p>
        </w:tc>
      </w:tr>
    </w:tbl>
    <w:p>
      <w:pPr>
        <w:pStyle w:val="PullQuote"/>
      </w:pPr>
      <w:r>
        <w:t xml:space="preserve">  ⚠ 2 claim(s) target a different fiscal period than the current_fy baseline and weren't summed: consensus_next_fy_revenue, consensus_next_fy_eps</w:t>
      </w:r>
    </w:p>
    <w:p>
      <w:r>
        <w:t>Our estimate is $0.23 (10.3%) above consensus $2.22. Primary driver: Revenue Growth.PVH Revenue Loss (ours -15.9 vs street -5.3, contributing $-1.372 to EPS variant, evidence: moderate). Variant appears NOT fully priced in based on available market data. Next catalyst: Next quarterly earnings report (2026-09-03 (56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 Growth.PVH Revenue Loss</w:t>
            </w:r>
          </w:p>
        </w:tc>
        <w:tc>
          <w:tcPr>
            <w:tcW w:type="dxa" w:w="1958"/>
            <w:tcBorders>
              <w:top w:val="single" w:sz="4" w:color="BDC3C7"/>
              <w:bottom w:val="single" w:sz="4" w:color="BDC3C7"/>
              <w:left w:val="single" w:sz="4" w:color="BDC3C7"/>
              <w:right w:val="single" w:sz="4" w:color="BDC3C7"/>
            </w:tcBorders>
          </w:tcPr>
          <w:p>
            <w:r>
              <w:t>-15.90</w:t>
            </w:r>
          </w:p>
        </w:tc>
        <w:tc>
          <w:tcPr>
            <w:tcW w:type="dxa" w:w="1958"/>
            <w:tcBorders>
              <w:top w:val="single" w:sz="4" w:color="BDC3C7"/>
              <w:bottom w:val="single" w:sz="4" w:color="BDC3C7"/>
              <w:left w:val="single" w:sz="4" w:color="BDC3C7"/>
              <w:right w:val="single" w:sz="4" w:color="BDC3C7"/>
            </w:tcBorders>
          </w:tcPr>
          <w:p>
            <w:r>
              <w:t>-5.35</w:t>
            </w:r>
          </w:p>
        </w:tc>
        <w:tc>
          <w:tcPr>
            <w:tcW w:type="dxa" w:w="1958"/>
            <w:tcBorders>
              <w:top w:val="single" w:sz="4" w:color="BDC3C7"/>
              <w:bottom w:val="single" w:sz="4" w:color="BDC3C7"/>
              <w:left w:val="single" w:sz="4" w:color="BDC3C7"/>
              <w:right w:val="single" w:sz="4" w:color="BDC3C7"/>
            </w:tcBorders>
          </w:tcPr>
          <w:p>
            <w:r>
              <w:t>-1.371</w:t>
            </w:r>
          </w:p>
        </w:tc>
        <w:tc>
          <w:tcPr>
            <w:tcW w:type="dxa" w:w="1958"/>
            <w:tcBorders>
              <w:top w:val="single" w:sz="4" w:color="BDC3C7"/>
              <w:bottom w:val="single" w:sz="4" w:color="BDC3C7"/>
              <w:left w:val="single" w:sz="4" w:color="BDC3C7"/>
              <w:right w:val="single" w:sz="4" w:color="BDC3C7"/>
            </w:tcBorders>
          </w:tcPr>
          <w:p>
            <w:r>
              <w:t>0.65</w:t>
            </w:r>
          </w:p>
        </w:tc>
      </w:tr>
      <w:tr>
        <w:tc>
          <w:tcPr>
            <w:tcW w:type="dxa" w:w="1958"/>
            <w:tcBorders>
              <w:top w:val="single" w:sz="4" w:color="BDC3C7"/>
              <w:bottom w:val="single" w:sz="4" w:color="BDC3C7"/>
              <w:left w:val="single" w:sz="4" w:color="BDC3C7"/>
              <w:right w:val="single" w:sz="4" w:color="BDC3C7"/>
            </w:tcBorders>
          </w:tcPr>
          <w:p>
            <w:r>
              <w:t>Revenue Growth.Marc Jacobs Contribution (FY2027)</w:t>
            </w:r>
          </w:p>
        </w:tc>
        <w:tc>
          <w:tcPr>
            <w:tcW w:type="dxa" w:w="1958"/>
            <w:tcBorders>
              <w:top w:val="single" w:sz="4" w:color="BDC3C7"/>
              <w:bottom w:val="single" w:sz="4" w:color="BDC3C7"/>
              <w:left w:val="single" w:sz="4" w:color="BDC3C7"/>
              <w:right w:val="single" w:sz="4" w:color="BDC3C7"/>
            </w:tcBorders>
          </w:tcPr>
          <w:p>
            <w:r>
              <w:t>+0.00</w:t>
            </w:r>
          </w:p>
        </w:tc>
        <w:tc>
          <w:tcPr>
            <w:tcW w:type="dxa" w:w="1958"/>
            <w:tcBorders>
              <w:top w:val="single" w:sz="4" w:color="BDC3C7"/>
              <w:bottom w:val="single" w:sz="4" w:color="BDC3C7"/>
              <w:left w:val="single" w:sz="4" w:color="BDC3C7"/>
              <w:right w:val="single" w:sz="4" w:color="BDC3C7"/>
            </w:tcBorders>
          </w:tcPr>
          <w:p>
            <w:r>
              <w:t>+10.52</w:t>
            </w:r>
          </w:p>
        </w:tc>
        <w:tc>
          <w:tcPr>
            <w:tcW w:type="dxa" w:w="1958"/>
            <w:tcBorders>
              <w:top w:val="single" w:sz="4" w:color="BDC3C7"/>
              <w:bottom w:val="single" w:sz="4" w:color="BDC3C7"/>
              <w:left w:val="single" w:sz="4" w:color="BDC3C7"/>
              <w:right w:val="single" w:sz="4" w:color="BDC3C7"/>
            </w:tcBorders>
          </w:tcPr>
          <w:p>
            <w:r>
              <w:t>-1.368</w:t>
            </w:r>
          </w:p>
        </w:tc>
        <w:tc>
          <w:tcPr>
            <w:tcW w:type="dxa" w:w="1958"/>
            <w:tcBorders>
              <w:top w:val="single" w:sz="4" w:color="BDC3C7"/>
              <w:bottom w:val="single" w:sz="4" w:color="BDC3C7"/>
              <w:left w:val="single" w:sz="4" w:color="BDC3C7"/>
              <w:right w:val="single" w:sz="4" w:color="BDC3C7"/>
            </w:tcBorders>
          </w:tcPr>
          <w:p>
            <w:r>
              <w:t>0.60</w:t>
            </w:r>
          </w:p>
        </w:tc>
      </w:tr>
      <w:tr>
        <w:tc>
          <w:tcPr>
            <w:tcW w:type="dxa" w:w="1958"/>
            <w:tcBorders>
              <w:top w:val="single" w:sz="4" w:color="BDC3C7"/>
              <w:bottom w:val="single" w:sz="4" w:color="BDC3C7"/>
              <w:left w:val="single" w:sz="4" w:color="BDC3C7"/>
              <w:right w:val="single" w:sz="4" w:color="BDC3C7"/>
            </w:tcBorders>
          </w:tcPr>
          <w:p>
            <w:r>
              <w:t>Revenue Growth.Go-Forward Portfolio Growth</w:t>
            </w:r>
          </w:p>
        </w:tc>
        <w:tc>
          <w:tcPr>
            <w:tcW w:type="dxa" w:w="1958"/>
            <w:tcBorders>
              <w:top w:val="single" w:sz="4" w:color="BDC3C7"/>
              <w:bottom w:val="single" w:sz="4" w:color="BDC3C7"/>
              <w:left w:val="single" w:sz="4" w:color="BDC3C7"/>
              <w:right w:val="single" w:sz="4" w:color="BDC3C7"/>
            </w:tcBorders>
          </w:tcPr>
          <w:p>
            <w:r>
              <w:t>+4.50</w:t>
            </w:r>
          </w:p>
        </w:tc>
        <w:tc>
          <w:tcPr>
            <w:tcW w:type="dxa" w:w="1958"/>
            <w:tcBorders>
              <w:top w:val="single" w:sz="4" w:color="BDC3C7"/>
              <w:bottom w:val="single" w:sz="4" w:color="BDC3C7"/>
              <w:left w:val="single" w:sz="4" w:color="BDC3C7"/>
              <w:right w:val="single" w:sz="4" w:color="BDC3C7"/>
            </w:tcBorders>
          </w:tcPr>
          <w:p>
            <w:r>
              <w:t>+15.01</w:t>
            </w:r>
          </w:p>
        </w:tc>
        <w:tc>
          <w:tcPr>
            <w:tcW w:type="dxa" w:w="1958"/>
            <w:tcBorders>
              <w:top w:val="single" w:sz="4" w:color="BDC3C7"/>
              <w:bottom w:val="single" w:sz="4" w:color="BDC3C7"/>
              <w:left w:val="single" w:sz="4" w:color="BDC3C7"/>
              <w:right w:val="single" w:sz="4" w:color="BDC3C7"/>
            </w:tcBorders>
          </w:tcPr>
          <w:p>
            <w:r>
              <w:t>-1.366</w:t>
            </w:r>
          </w:p>
        </w:tc>
        <w:tc>
          <w:tcPr>
            <w:tcW w:type="dxa" w:w="1958"/>
            <w:tcBorders>
              <w:top w:val="single" w:sz="4" w:color="BDC3C7"/>
              <w:bottom w:val="single" w:sz="4" w:color="BDC3C7"/>
              <w:left w:val="single" w:sz="4" w:color="BDC3C7"/>
              <w:right w:val="single" w:sz="4" w:color="BDC3C7"/>
            </w:tcBorders>
          </w:tcPr>
          <w:p>
            <w:r>
              <w:t>0.50</w:t>
            </w:r>
          </w:p>
        </w:tc>
      </w:tr>
    </w:tbl>
    <w:p>
      <w:r>
        <w:t>Priced in: not fully — Variant (+10.3%) exceeds implied move (3.7%). Short interest 25.6% supports</w:t>
      </w:r>
    </w:p>
    <w:p>
      <w:r>
        <w:t>Edge verdict: ACTIONABLE_EDGE (score 0.193).</w:t>
      </w:r>
    </w:p>
    <w:p>
      <w:pPr>
        <w:pStyle w:val="SectionHeading"/>
      </w:pPr>
      <w:r>
        <w:t>4. Catalysts</w:t>
      </w:r>
    </w:p>
    <w:p>
      <w:pPr>
        <w:pStyle w:val="ListBullet"/>
      </w:pPr>
      <w:r>
        <w:t>Next quarterly earnings report (2026-09-03 (56 days)) — resolves revenue + margins + guidance; confirms or challenges</w:t>
      </w:r>
    </w:p>
    <w:p>
      <w:pPr>
        <w:pStyle w:val="ListBullet"/>
      </w:pPr>
      <w:r>
        <w:t>Resolution: The 400bps gross margin expansion is structural and durable, driven by owned bra (Multi-year thesis -- patience required) — resolves Gross Margin Expansion; confirms or challenges</w:t>
      </w:r>
    </w:p>
    <w:p>
      <w:pPr>
        <w:pStyle w:val="ListBullet"/>
      </w:pPr>
      <w:r>
        <w:t>Resolution: Marc Jacobs acquisition accelerates the margin re-rating toward mid-to-upper-tee (Multi-year thesis -- patience required) — resolves Revenue Growth; confirms or challenges</w:t>
      </w:r>
    </w:p>
    <w:p>
      <w:pPr>
        <w:pStyle w:val="ListBullet"/>
      </w:pPr>
      <w:r>
        <w:t>Resolution: Go-forward portfolio can sustain high-single-digit growth to offset PVH revenue  (Multi-year thesis -- patience required) — resolves Revenue Growth; confirms or challenges</w:t>
      </w:r>
    </w:p>
    <w:p>
      <w:pPr>
        <w:pStyle w:val="ListBullet"/>
      </w:pPr>
      <w:r>
        <w:t>Marc Jacobs acquisition: actual royalty rate, minimum revenue guarantees, and annualized revenue bas (Unknown timing) — resolves multiple; resolves uncertainty</w:t>
      </w:r>
    </w:p>
    <w:p>
      <w:pPr>
        <w:pStyle w:val="ListBullet"/>
      </w:pPr>
      <w:r>
        <w:t>Marc Jacobs acquisition: expected close date and whether any FY2027 Q4 contribution is anticipated — (Unknown timing) — resolves multiple; resolves uncertainty</w:t>
      </w:r>
    </w:p>
    <w:p>
      <w:pPr>
        <w:pStyle w:val="SectionHeading"/>
      </w:pPr>
      <w:r>
        <w:t>5. Risks, Blind Spots &amp; Kill Criteria</w:t>
      </w:r>
    </w:p>
    <w:p>
      <w:pPr>
        <w:pStyle w:val="SubHeading"/>
      </w:pPr>
      <w:r>
        <w:t>Top risks:</w:t>
      </w:r>
    </w:p>
    <w:p>
      <w:pPr>
        <w:pStyle w:val="ListBullet"/>
      </w:pPr>
      <w:r>
        <w:t>Marc Jacobs acquisition accelerates the margin re-rating toward mid-to-upper-teens operating margins — counter: Marc Jacobs has 100+ company-operated stores worldwide — a fixed-cost infrastructure that is fundamentally different from GIII's asset-light wholesale model. Company-operated retail stores carry lease obligations, store staff, and inventory risk that can compress margins if traffic or conversion disappoints. Management described Marc Jacobs as a 'hybrid' with 'essentially a half royalty' — but the actual royalty rate, minimum guarantees, and revenue base were not disclosed. The $500M acquisition price (per news reports) implies a meaningful capital deployment that must generate returns above GIII's cost of capital. If Marc Jacobs revenue is below $200M annualized, the acquisition economics are challenging at any reasonable multiple. [serious]</w:t>
      </w:r>
    </w:p>
    <w:p>
      <w:pPr>
        <w:pStyle w:val="ListBullet2"/>
      </w:pPr>
      <w:r>
        <w:rPr>
          <w:i/>
        </w:rPr>
        <w:t>→ Research [CONTRADICTS]: Marc Jacobs operates 116 company-operated stores globally as of September 2023, not 100+. Historical peak was 250+ stores; current footprint is substantially smaller than the brief's framing suggests. (wwd.com)</w:t>
      </w:r>
    </w:p>
    <w:p>
      <w:pPr>
        <w:pStyle w:val="ListBullet"/>
      </w:pPr>
      <w:r>
        <w:t>The 400bps gross margin expansion is structural and durable, driven by owned brand mix shift and full-price selling — counter: Q1 FY2027 GAAP gross margin of 64.9% includes a $102.7M one-time IEPA tariff refund that will not recur. Stripping this out, the structural non-GAAP Q1 gross margin was approximately 45.5% — still a meaningful improvement, but the GAAP headline number creates a misleading baseline. Additionally, the CFO's tariff guidance assumes IEPA-regime rates for the remainder of FY2027 ('which would anticipate an increase to rates currently in effect'), meaning the guidance is built on a tariff headwind assumption that could prove either too conservative (if tariffs stay low) or too optimistic (if tariffs escalate further). The $65M unmitigated tariff impact in FY2026 demonstrates that tariff exposure is real and material. [moderate]</w:t>
      </w:r>
    </w:p>
    <w:p>
      <w:pPr>
        <w:pStyle w:val="ListBullet"/>
      </w:pPr>
      <w:r>
        <w:t>Go-forward portfolio can sustain high-single-digit growth to offset PVH revenue loss — counter: University of Michigan consumer sentiment was 44.8 as of May 2026, down 14.2% YoY — a level historically associated with meaningful discretionary spending pullbacks. The personal saving rate of 3.0% (down 38.8% YoY) suggests consumers are drawing down buffers. GIII's wholesale channel is exposed to department store order patterns, and the Q1 FY2027 call noted 'macroeconomic challenges in the European market' despite European go-forward portfolio growth. The SACS bankruptcy in Q4 FY2026 (a $17.5M bad debt expense, 30 cents EPS impact) demonstrated that wholesale channel concentration risk is real and can materialize suddenly. [moderate]</w:t>
      </w:r>
    </w:p>
    <w:p>
      <w:pPr>
        <w:pStyle w:val="KillCriteria"/>
      </w:pPr>
      <w:r>
        <w:t>What would change our mind: Print on Revenue Growth.PVH Revenue Loss comes in above our -15.9 figure (toward street -5.3) in the next 1-2 prints.</w:t>
      </w:r>
    </w:p>
    <w:p>
      <w:pPr>
        <w:pStyle w:val="SectionHeading"/>
      </w:pPr>
      <w:r>
        <w:t>Appendix</w:t>
      </w:r>
    </w:p>
    <w:p>
      <w:pPr>
        <w:pStyle w:val="SubHeading"/>
      </w:pPr>
      <w:r>
        <w:t>Business context:</w:t>
      </w:r>
    </w:p>
    <w:p>
      <w:r>
        <w:t>G-III Apparel Group (GIII) is a fashion conglomerate that designs, sources, and markets apparel and accessories under owned brands (DKNY, Donna Karan, Karl Lagerfeld, Vilebrequin) and licensed brands. The company sells primarily through wholesale channels to department stores and specialty retailers, with a smaller but growing direct-to-consumer retail segment. Revenue is generated through product sales at wholesale prices, with margin economics varying materially between owned brands (no royalty drag, mid-to-upper-teens operating margins) and licensed brands (royalty payments, low-double-digit operating margins).</w:t>
      </w:r>
    </w:p>
    <w:p>
      <w:pPr>
        <w:pStyle w:val="SubHeading"/>
      </w:pPr>
      <w:r>
        <w:t>Evidence gaps (research TODO):</w:t>
      </w:r>
    </w:p>
    <w:p>
      <w:pPr>
        <w:pStyle w:val="ListBullet"/>
      </w:pPr>
      <w:r>
        <w:t>Marc Jacobs acquisition: actual royalty rate, minimum revenue guarantees, and annualized revenue base not disclosed — critical for modeling FY2028 EPS contribution</w:t>
      </w:r>
    </w:p>
    <w:p>
      <w:pPr>
        <w:pStyle w:val="ListBullet"/>
      </w:pPr>
      <w:r>
        <w:t>Marc Jacobs acquisition: expected close date and whether any FY2027 Q4 contribution is anticipated — determines whether FY2027 EPS upside exists beyond current guidance</w:t>
      </w:r>
    </w:p>
    <w:p>
      <w:pPr>
        <w:pStyle w:val="ListBullet"/>
      </w:pPr>
      <w:r>
        <w:t>Non-GAAP SG&amp;A breakdown: management does not disclose the specific non-GAAP SG&amp;A adjustments, making it difficult to reconcile the GAAP operating margin of 3.7% (FY2026) to the non-GAAP EBITDA margin implied by the $178-$182M EBITDA guidance on $2,710M revenue (6.6-6.7%)</w:t>
      </w:r>
    </w:p>
    <w:p>
      <w:pPr>
        <w:pStyle w:val="ListBullet"/>
      </w:pPr>
      <w:r>
        <w:t>Go-forward portfolio revenue breakdown by brand (DKNY, Donna Karan, Karl Lagerfeld, Vilebrequin): individual brand growth rates and margin profiles not disclosed, making it impossible to verify the mix-shift margin thesis at the brand level</w:t>
      </w:r>
    </w:p>
    <w:p>
      <w:pPr>
        <w:pStyle w:val="ListBullet"/>
      </w:pPr>
      <w:r>
        <w:t>IEPA tariff refund receivable of $139.5M: timing of cash receipt and any risk of dispute or delay — if delayed beyond FY2027, the cash flow benefit disappears and the balance sheet optionality for Marc Jacobs financing is reduced</w:t>
      </w:r>
    </w:p>
    <w:p>
      <w:pPr>
        <w:pStyle w:val="ListBullet"/>
      </w:pPr>
      <w:r>
        <w:t>Wholesale partner order trends for fall/holiday FY2027: the Q1 FY2027 call was cut off mid-sentence on Ashley Owens' (KeyBank) question about wholesale partner order shifts — the answer was not captured in the transcript, leaving a gap in understanding H2 FY2027 revenue visibility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