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INTC — INTC</w:t>
      </w:r>
    </w:p>
    <w:p>
      <w:pPr>
        <w:pStyle w:val="SmallMeta"/>
      </w:pPr>
      <w:r>
        <w:t>As of 2026-06-21  |  Schema: general  |  Data: polygon+alpha_vantage (FY2025)</w:t>
      </w:r>
    </w:p>
    <w:p>
      <w:pPr>
        <w:pStyle w:val="SubHeading"/>
      </w:pPr>
      <w:r>
        <w:rPr>
          <w:color w:val="8C1D40"/>
        </w:rPr>
        <w:t>Direction: SHORT | Current: $133.99</w:t>
      </w:r>
    </w:p>
    <w:p>
      <w:pPr>
        <w:pStyle w:val="SubHeading"/>
      </w:pPr>
      <w:r>
        <w:t>Summary</w:t>
      </w:r>
    </w:p>
    <w:p>
      <w:pPr>
        <w:pStyle w:val="ListBullet"/>
      </w:pPr>
      <w:r>
        <w:t>Thesis: Consensus FY2026 gross margin assumptions (~39-41% non-GAAP implied by the EPS bridge) are too optimistic given the explicit Q2 guide of 39% non-GAAP with a sequential decline flagged, Intel Foundry losses remaining ~$2.4B/quarter through at least mid-2026, and PPI input cost inflation of +13.1% YoY creating substrate/memory cost headwinds management explicitly flagged. Separately, the FY2027 EPS consensus of $1.55 embeds an implausibly rapid Foundry loss narrowing that has no grounding in disclosed external customer commitments — the 14A customer decision timeline management described ('second half of this year') pushes meaningful external foundry revenue to 2028 at the earliest, making the FY2027 EPS range ($0.94-$2.21) a wide dispersion bet where the street's mean is structurally too high.</w:t>
      </w:r>
    </w:p>
    <w:p>
      <w:pPr>
        <w:pStyle w:val="ListBullet"/>
      </w:pPr>
      <w:r>
        <w:t>Next catalyst: Next quarterly earnings report (2026-07-23 (32 days))</w:t>
      </w:r>
    </w:p>
    <w:p>
      <w:pPr>
        <w:pStyle w:val="ListBullet"/>
      </w:pPr>
      <w:r>
        <w:t>Top risk: Intel Foundry losses will narrow meaningfully in FY2027, supporting $1.55 consensus EPS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Revenue Growth diverges from guide per guidance_vs_our_view but the basis prose does not cite management's guide directly. A divergence-from-guide thesis requires an explicit guide quote ('mgmt guided $X-Y on Q_ call') and a named reason for the gap, not general skepticism.</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'semiconductors'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4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$0.21</w:t>
            </w:r>
          </w:p>
        </w:tc>
        <w:tc>
          <w:tcPr>
            <w:tcW w:type="dxa" w:w="1399"/>
            <w:tcBorders>
              <w:top w:val="single" w:sz="4" w:color="BDC3C7"/>
              <w:bottom w:val="single" w:sz="4" w:color="BDC3C7"/>
              <w:left w:val="single" w:sz="4" w:color="BDC3C7"/>
              <w:right w:val="single" w:sz="4" w:color="BDC3C7"/>
            </w:tcBorders>
          </w:tcPr>
          <w:p>
            <w:r>
              <w:t>$0.20 – $0.33</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+311.3%</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↑31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$0.27</w:t>
            </w:r>
          </w:p>
        </w:tc>
        <w:tc>
          <w:tcPr>
            <w:tcW w:type="dxa" w:w="1399"/>
            <w:tcBorders>
              <w:top w:val="single" w:sz="4" w:color="BDC3C7"/>
              <w:bottom w:val="single" w:sz="4" w:color="BDC3C7"/>
              <w:left w:val="single" w:sz="4" w:color="BDC3C7"/>
              <w:right w:val="single" w:sz="4" w:color="BDC3C7"/>
            </w:tcBorders>
          </w:tcPr>
          <w:p>
            <w:r>
              <w:t>$0.22 – $0.37</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+16.3%</w:t>
            </w:r>
          </w:p>
        </w:tc>
        <w:tc>
          <w:tcPr>
            <w:tcW w:type="dxa" w:w="1399"/>
            <w:tcBorders>
              <w:top w:val="single" w:sz="4" w:color="BDC3C7"/>
              <w:bottom w:val="single" w:sz="4" w:color="BDC3C7"/>
              <w:left w:val="single" w:sz="4" w:color="BDC3C7"/>
              <w:right w:val="single" w:sz="4" w:color="BDC3C7"/>
            </w:tcBorders>
          </w:tcPr>
          <w:p>
            <w:r>
              <w:t>≈ +0.002</w:t>
            </w:r>
          </w:p>
        </w:tc>
        <w:tc>
          <w:tcPr>
            <w:tcW w:type="dxa" w:w="1399"/>
            <w:tcBorders>
              <w:top w:val="single" w:sz="4" w:color="BDC3C7"/>
              <w:bottom w:val="single" w:sz="4" w:color="BDC3C7"/>
              <w:left w:val="single" w:sz="4" w:color="BDC3C7"/>
              <w:right w:val="single" w:sz="4" w:color="BDC3C7"/>
            </w:tcBorders>
          </w:tcPr>
          <w:p>
            <w:r>
              <w:t>↑26 / ↓3</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$1.09</w:t>
            </w:r>
          </w:p>
        </w:tc>
        <w:tc>
          <w:tcPr>
            <w:tcW w:type="dxa" w:w="1399"/>
            <w:tcBorders>
              <w:top w:val="single" w:sz="4" w:color="BDC3C7"/>
              <w:bottom w:val="single" w:sz="4" w:color="BDC3C7"/>
              <w:left w:val="single" w:sz="4" w:color="BDC3C7"/>
              <w:right w:val="single" w:sz="4" w:color="BDC3C7"/>
            </w:tcBorders>
          </w:tcPr>
          <w:p>
            <w:r>
              <w:t>$0.95 – $1.39</w:t>
            </w:r>
          </w:p>
        </w:tc>
        <w:tc>
          <w:tcPr>
            <w:tcW w:type="dxa" w:w="1399"/>
            <w:tcBorders>
              <w:top w:val="single" w:sz="4" w:color="BDC3C7"/>
              <w:bottom w:val="single" w:sz="4" w:color="BDC3C7"/>
              <w:left w:val="single" w:sz="4" w:color="BDC3C7"/>
              <w:right w:val="single" w:sz="4" w:color="BDC3C7"/>
            </w:tcBorders>
          </w:tcPr>
          <w:p>
            <w:r>
              <w:t>40</w:t>
            </w:r>
          </w:p>
        </w:tc>
        <w:tc>
          <w:tcPr>
            <w:tcW w:type="dxa" w:w="1399"/>
            <w:tcBorders>
              <w:top w:val="single" w:sz="4" w:color="BDC3C7"/>
              <w:bottom w:val="single" w:sz="4" w:color="BDC3C7"/>
              <w:left w:val="single" w:sz="4" w:color="BDC3C7"/>
              <w:right w:val="single" w:sz="4" w:color="BDC3C7"/>
            </w:tcBorders>
          </w:tcPr>
          <w:p>
            <w:r>
              <w:t>+160.1%</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↑35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$1.55</w:t>
            </w:r>
          </w:p>
        </w:tc>
        <w:tc>
          <w:tcPr>
            <w:tcW w:type="dxa" w:w="1399"/>
            <w:tcBorders>
              <w:top w:val="single" w:sz="4" w:color="BDC3C7"/>
              <w:bottom w:val="single" w:sz="4" w:color="BDC3C7"/>
              <w:left w:val="single" w:sz="4" w:color="BDC3C7"/>
              <w:right w:val="single" w:sz="4" w:color="BDC3C7"/>
            </w:tcBorders>
          </w:tcPr>
          <w:p>
            <w:r>
              <w:t>$0.94 – $2.21</w:t>
            </w:r>
          </w:p>
        </w:tc>
        <w:tc>
          <w:tcPr>
            <w:tcW w:type="dxa" w:w="1399"/>
            <w:tcBorders>
              <w:top w:val="single" w:sz="4" w:color="BDC3C7"/>
              <w:bottom w:val="single" w:sz="4" w:color="BDC3C7"/>
              <w:left w:val="single" w:sz="4" w:color="BDC3C7"/>
              <w:right w:val="single" w:sz="4" w:color="BDC3C7"/>
            </w:tcBorders>
          </w:tcPr>
          <w:p>
            <w:r>
              <w:t>39</w:t>
            </w:r>
          </w:p>
        </w:tc>
        <w:tc>
          <w:tcPr>
            <w:tcW w:type="dxa" w:w="1399"/>
            <w:tcBorders>
              <w:top w:val="single" w:sz="4" w:color="BDC3C7"/>
              <w:bottom w:val="single" w:sz="4" w:color="BDC3C7"/>
              <w:left w:val="single" w:sz="4" w:color="BDC3C7"/>
              <w:right w:val="single" w:sz="4" w:color="BDC3C7"/>
            </w:tcBorders>
          </w:tcPr>
          <w:p>
            <w:r>
              <w:t>+41.6%</w:t>
            </w:r>
          </w:p>
        </w:tc>
        <w:tc>
          <w:tcPr>
            <w:tcW w:type="dxa" w:w="1399"/>
            <w:tcBorders>
              <w:top w:val="single" w:sz="4" w:color="BDC3C7"/>
              <w:bottom w:val="single" w:sz="4" w:color="BDC3C7"/>
              <w:left w:val="single" w:sz="4" w:color="BDC3C7"/>
              <w:right w:val="single" w:sz="4" w:color="BDC3C7"/>
            </w:tcBorders>
          </w:tcPr>
          <w:p>
            <w:r>
              <w:t>↑ +0.007</w:t>
            </w:r>
          </w:p>
        </w:tc>
        <w:tc>
          <w:tcPr>
            <w:tcW w:type="dxa" w:w="1399"/>
            <w:tcBorders>
              <w:top w:val="single" w:sz="4" w:color="BDC3C7"/>
              <w:bottom w:val="single" w:sz="4" w:color="BDC3C7"/>
              <w:left w:val="single" w:sz="4" w:color="BDC3C7"/>
              <w:right w:val="single" w:sz="4" w:color="BDC3C7"/>
            </w:tcBorders>
          </w:tcPr>
          <w:p>
            <w:r>
              <w:t>↑7 / ↓0</w:t>
            </w:r>
          </w:p>
        </w:tc>
      </w:tr>
    </w:tbl>
    <w:p>
      <w:r>
        <w:t>Revenue consensus: Q $14.40B (+12.0%)  |  Q+1 $15.06B (+10.3%)  |  FY $58.71B (+11.1%)  |  FY+1 $65.34B (+11.3%)</w:t>
      </w:r>
    </w:p>
    <w:p>
      <w:r>
        <w:t>Price targets: Mean $94.14  |  Median $90.00  |  Range $45.00–$150.00  |  Current $133.99 (-29.7% to mean)</w:t>
      </w:r>
    </w:p>
    <w:p>
      <w:r>
        <w:t>Analyst ratings (n=48): Strong Buy 2 · Buy 11 · Hold 31 · Sell 2 · Strong Sell 2  ·  27% bullish</w:t>
      </w:r>
    </w:p>
    <w:p>
      <w:r>
        <w:t>Next earnings: 2026-07-23 (32d out)  ·  EPS $0.21 ($0.20–$0.33)  ·  Rev $14.40B</w:t>
      </w:r>
    </w:p>
    <w:p>
      <w:pPr>
        <w:pStyle w:val="SectionHeading"/>
      </w:pPr>
      <w:r>
        <w:t>1. Research Synthesis</w:t>
      </w:r>
    </w:p>
    <w:p>
      <w:r>
        <w:t>Intel's Q1 2026 print was genuinely strong on the surface: revenue of $13.577B came in $1.4B above the midpoint of the Q1 guide ($12.2B midpoint), non-GAAP EPS of $0.29 beat the breakeven guide by $0.29, and non-GAAP gross margin of 41% was 650bps above guidance. This marks the sixth consecutive quarter of beating the guide midpoint. To assess whether this beat pattern is structural or episodic, the diligence question is: what drove the beats, and are those drivers repeatable? Management's own explanation in the Q1 2026 call is instructive: 'higher volume, which included previously reserved inventory, mix, and pricing' plus 'better yields on Intel 18A offset some of the higher costs we always incur in the early part of ramping a new node.' The CFO explicitly flagged that 'some inventory benefits in Q1 that aren't expected to repeat in Q2' — a direct admission that the Q1 beat included one-time pull-forward from previously reserved inventory. This is a critical nuance the consensus beat-rate narrative obscures.</w:t>
      </w:r>
    </w:p>
    <w:p>
      <w:pPr>
        <w:pStyle w:val="ListBullet"/>
      </w:pPr>
      <w:r>
        <w:rPr>
          <w:i/>
        </w:rPr>
        <w:t>→ Research [UPDATES]: SEC filing confirms $13.6B Q1 revenue (not $13.577B) and $0.29 non-GAAP EPS. Revenue beat is $1.4B above $12.2B guidance midpoint as stated; EPS beat guidance of $0.00 (breakeven), not $0.29 beat as phrased. (sec.gov)</w:t>
      </w:r>
    </w:p>
    <w:p>
      <w:r>
        <w:t>The GAAP vs. non-GAAP reconciliation is the first place to stress-test the margin thesis. The structured financials show FY2025 GAAP gross margin of 34.8% ($18,375M gross profit on $52,853M revenue). Management cited non-GAAP gross margin of 36.7% for full-year 2025 and 41% for Q1 2026 non-GAAP. The Q1 2026 GAAP gross margin from the quarterly table is 39.4% — notably, the GAAP-non-GAAP gap has narrowed significantly from prior years (Q3 2024 GAAP GM was 15.0% vs. a much higher non-GAAP, reflecting the ~$800M impairment charge that quarter). For Q2 2026, management guided non-GAAP gross margin of 39% — a sequential decline of ~200bps from Q1's 41% non-GAAP — explicitly attributing this to 'a meaningfully larger contribution from Intel 18A, still early in its ramp.' This is the margin headwind the street needs to model carefully: as 18A volumes scale through 2H 2026, the early-ramp cost burden grows before yield improvements fully offset it. The Q2 guide itself is a disclosed anchor that implies the margin recovery is not linear.</w:t>
      </w:r>
    </w:p>
    <w:p>
      <w:r>
        <w:t>Sequential trajectory discipline is essential here. Q1 2026 revenue of $13.577B vs. Q4 2025 of $13.674B = -0.7% sequential decline. Prior year: Q1 2025 of $12.667B vs. Q4 2024 of $14.260B = -11.2% sequential decline. So the current Q1 sequential pattern (-0.7%) is dramatically better than the prior-year seasonal pattern (-11.2%), a delta of +10.5 percentage points. This is genuinely impressive and reflects the supply ramp management has executed. However, the Q2 2026 guide midpoint of $14.3B vs. Q1 2026 actual of $13.577B = +5.3% sequential growth. Prior year: Q2 2025 of $12.859B vs. Q1 2025 of $12.667B = +1.5% sequential growth. So the Q2 2026 guide implies +5.3% sequential vs. +1.5% prior-year seasonal — again, a meaningful positive delta of +3.8 percentage points. The supply ramp is real and the sequential trajectory is above seasonal. The question is whether the full-year consensus of $58.714B is achievable given this trajectory. Q1 actual $13.577B + Q2 guide midpoint $14.3B = $27.877B for 1H 2026. To hit $58.714B full-year, 2H 2026 needs to deliver $30.837B, or ~$15.4B/quarter. That implies Q3 and Q4 each need to be ~7.5% above Q2's guide midpoint — plausible given management's statement that 'supply will go up every quarter now going forward,' but it requires no macro disruption and continued demand strength.</w:t>
      </w:r>
    </w:p>
    <w:p>
      <w:r>
        <w:t>The gross margin trajectory is where the edge lives. Consensus FY2026 EPS of $1.09 on ~$58.7B revenue implies roughly $6.4B of net income (at ~4.53B diluted shares). Working backward: to get from the Q1 2026 GAAP operating loss of -$3.136B to a full-year positive EPS, the implied 2H 2026 operating income needs to be substantial. The FY2025 GAAP operating income was -$2.214B. The consensus is modeling a swing of roughly $5-7B in operating income from FY2025 to FY2026 — this requires either (a) Intel Foundry losses to narrow materially, (b) product segment margins to expand significantly on volume leverage, or (c) both. Management's Q2 gross margin guide of 39% non-GAAP with a sequential decline is a yellow flag: if 18A ramp costs are 'meaningfully larger' in Q2, and 18A volumes continue scaling in Q3-Q4, the gross margin recovery may be back-half weighted in a way that makes the full-year consensus margin assumption fragile. The PPI data (FRED: +13.1% YoY as of May 2026) is a macro headwind management explicitly acknowledged — 'constraints and rising prices around key components like memory, wafers, and substrates' — that the consensus may be underweighting in its COGS assumptions.</w:t>
      </w:r>
    </w:p>
    <w:p>
      <w:r>
        <w:t>The Intel Foundry loss trajectory is the structural bear case. Q1 2026 Foundry operating loss was -$2.4B, improved $72M quarter-over-quarter. Q4 2025 was -$2.5B. Q3 2025 was -$2.3B. The trend is essentially flat to modestly improving — not the steep narrowing that FY2027 EPS consensus of $1.55 requires. External foundry revenue was $174M in Q1 2026 and $222M in Q4 2025 — de minimis relative to the ~$5.4B total foundry revenue (which is primarily internal transfer pricing). For the Foundry loss to narrow meaningfully, external revenue needs to scale dramatically. Management's own timeline for 14A customer decisions is 'second half of 2026' for commitments, with capacity build-out following — meaning revenue conversion is 2027 at the earliest, and likely 2028 for meaningful scale. The Q4 2025 call CFO said explicitly: 'it does not make sense to build out significant capacity there until we know that we have the customers that will accept that demand.' This chicken-and-egg dynamic means the FY2027 Foundry loss improvement embedded in the $1.55 consensus EPS is speculative, not grounded in disclosed commitments.</w:t>
      </w:r>
    </w:p>
    <w:p>
      <w:pPr>
        <w:pStyle w:val="ListBullet"/>
      </w:pPr>
      <w:r>
        <w:rPr>
          <w:i/>
        </w:rPr>
        <w:t>→ Research [UPDATES]: Management's disclosed timeline spans second half of 2026 through first half of 2027 for customer decisions, not 'second half of 2026' alone. Production volume starts 2028, not 2027. (tomshardware.com)</w:t>
      </w:r>
    </w:p>
    <w:p>
      <w:pPr>
        <w:pStyle w:val="ListBullet"/>
      </w:pPr>
      <w:r>
        <w:rPr>
          <w:i/>
        </w:rPr>
        <w:t>→ Research: CHIPS Act funding disbursed in milestone-based tranches with strict compliance conditions. Commerce Dept confirmed milestone-based disbursement; Intel faces $35B R&amp;D spending requirement (2024–2028), 12-fab build obligation, foundry control restrictions, and 5-year buyback ban. Delays documented through 2026 due to financial woes and due diligence requirements. (commerce.gov)</w:t>
      </w:r>
    </w:p>
    <w:p>
      <w:r>
        <w:t>The Apple-Intel partnership news (Trump confirmed June 20, 2026 per Yahoo Finance) is the most material recent event and the biggest wildcard. The social topic analysis flags this as a [SILENCE] — management has made zero reference to any Apple partnership in any of the three quarters of transcripts provided. The retail debate is active ('why apple and intel haven't confirmed the deal news yet, cause its fake trump pump'). If real, an Apple foundry commitment would be transformative — Apple's A-series chip volumes are among the largest in the industry, and a commitment would validate 18A/14A commercially and provide the external revenue anchor the Foundry business needs. However, the absence of any management confirmation, combined with the political context (Trump announcement), suggests this may be a letter-of-intent or MOU rather than a binding production agreement. The insider activity is a useful cross-check: EVP and Chief Legal Officer Boise Miller sold $4.99M (36.4% of stake) at an average of $82.77 between February and May 2026, while the Foundry GM Chandrasekaran sold $2.49M at $118.28 in late May. The CFO bought $250K at $42.50 in January. The insider selling at elevated prices by the CLO and Foundry GM — the two executives most likely to know the status of any Apple deal — is a mild negative signal, though the position sizes retained are still substantial.</w:t>
      </w:r>
    </w:p>
    <w:p>
      <w:pPr>
        <w:pStyle w:val="ListBullet"/>
      </w:pPr>
      <w:r>
        <w:rPr>
          <w:i/>
        </w:rPr>
        <w:t>→ Research [CONTRADICTS]: Form 4 data shows Boise Miller sold 40,256 shares on May 1, 2026 at $99.526 average (not $82.77), and earlier sold 20,000 shares on Feb 2 at $49.05. Combined ~$3.6M total, not $4.99M. Chandrasekaran sale amount ($2.49M at $118.28) is confirmed. (stocktitan.net)</w:t>
      </w:r>
    </w:p>
    <w:p>
      <w:r>
        <w:t>Ownership structure is notable: Nvidia holds 4.3% of Intel (from the $5B investment that closed Q4 2025), and SoftBank holds 1.7%. These are strategic holders with aligned interests in Intel's foundry success — Nvidia needs alternative foundry capacity to TSMC, and SoftBank has a broader semiconductor thesis. This strategic ownership is not fully priced into the consensus narrative, which treats Intel primarily as a CPU recovery story. The Nvidia stake in particular creates optionality: if Intel's 18A yields continue improving, Nvidia has both the incentive and the relationship to become a meaningful external foundry customer, which would be a step-change for the Foundry P&amp;L. This is a real but unquantified upside that the consensus doesn't model explicitly.</w:t>
      </w:r>
    </w:p>
    <w:p>
      <w:pPr>
        <w:pStyle w:val="ListBullet"/>
      </w:pPr>
      <w:r>
        <w:rPr>
          <w:i/>
        </w:rPr>
        <w:t>→ Research [UPDATES]: Nvidia's $5B investment closed in late December 2025 (not Q4 2025 as stated), yielding a 4.0–4.9% stake (not 4.3%). SoftBank's $2B investment was announced August 2025 but timing of stake percentage not confirmed in sources. (yahoo.com)</w:t>
      </w:r>
    </w:p>
    <w:p>
      <w:r>
        <w:t>Synthesizing the diligence: the bull case (consensus $1.09 FY2026 EPS, $1.55 FY2027 EPS) requires a margin recovery that is faster and more durable than the disclosed Q2 guide implies, a Foundry loss narrowing that has no concrete customer commitment backing it for 2027, and no macro disruption to the supply ramp. Our view is that FY2026 EPS is achievable near consensus ($1.00-1.05 range) given the strong 1H trajectory, but the margin assumptions for 2H are optimistic given 18A ramp cost scaling and PPI headwinds. FY2027 EPS consensus of $1.55 is the more vulnerable anchor — the wide dispersion ($0.94-$2.21) reflects genuine uncertainty, and the mean is too high absent confirmed external foundry customer commitments. The Apple news, if confirmed with binding volumes, would be the single most important falsifier of the bear case on FY2027.</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$0.21</w:t>
            </w:r>
          </w:p>
        </w:tc>
        <w:tc>
          <w:tcPr>
            <w:tcW w:type="dxa" w:w="3264"/>
            <w:tcBorders>
              <w:top w:val="single" w:sz="4" w:color="BDC3C7"/>
              <w:bottom w:val="single" w:sz="4" w:color="BDC3C7"/>
              <w:left w:val="single" w:sz="4" w:color="BDC3C7"/>
              <w:right w:val="single" w:sz="4" w:color="BDC3C7"/>
            </w:tcBorders>
          </w:tcPr>
          <w:p>
            <w:r>
              <w:t>$14,404M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$0.27</w:t>
            </w:r>
          </w:p>
        </w:tc>
        <w:tc>
          <w:tcPr>
            <w:tcW w:type="dxa" w:w="3264"/>
            <w:tcBorders>
              <w:top w:val="single" w:sz="4" w:color="BDC3C7"/>
              <w:bottom w:val="single" w:sz="4" w:color="BDC3C7"/>
              <w:left w:val="single" w:sz="4" w:color="BDC3C7"/>
              <w:right w:val="single" w:sz="4" w:color="BDC3C7"/>
            </w:tcBorders>
          </w:tcPr>
          <w:p>
            <w:r>
              <w:t>$15,058M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$1.09</w:t>
            </w:r>
          </w:p>
        </w:tc>
        <w:tc>
          <w:tcPr>
            <w:tcW w:type="dxa" w:w="3264"/>
            <w:tcBorders>
              <w:top w:val="single" w:sz="4" w:color="BDC3C7"/>
              <w:bottom w:val="single" w:sz="4" w:color="BDC3C7"/>
              <w:left w:val="single" w:sz="4" w:color="BDC3C7"/>
              <w:right w:val="single" w:sz="4" w:color="BDC3C7"/>
            </w:tcBorders>
          </w:tcPr>
          <w:p>
            <w:r>
              <w:t>$58,714M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$1.55</w:t>
            </w:r>
          </w:p>
        </w:tc>
        <w:tc>
          <w:tcPr>
            <w:tcW w:type="dxa" w:w="3264"/>
            <w:tcBorders>
              <w:top w:val="single" w:sz="4" w:color="BDC3C7"/>
              <w:bottom w:val="single" w:sz="4" w:color="BDC3C7"/>
              <w:left w:val="single" w:sz="4" w:color="BDC3C7"/>
              <w:right w:val="single" w:sz="4" w:color="BDC3C7"/>
            </w:tcBorders>
          </w:tcPr>
          <w:p>
            <w:r>
              <w:t>$65,341M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$1.09</w:t>
            </w:r>
          </w:p>
        </w:tc>
        <w:tc>
          <w:tcPr>
            <w:tcW w:type="dxa" w:w="1632"/>
            <w:tcBorders>
              <w:top w:val="single" w:sz="4" w:color="BDC3C7"/>
              <w:bottom w:val="single" w:sz="4" w:color="BDC3C7"/>
              <w:left w:val="single" w:sz="4" w:color="BDC3C7"/>
              <w:right w:val="single" w:sz="4" w:color="BDC3C7"/>
            </w:tcBorders>
          </w:tcPr>
          <w:p>
            <w:r>
              <w:t>+85.0%</w:t>
            </w:r>
          </w:p>
        </w:tc>
        <w:tc>
          <w:tcPr>
            <w:tcW w:type="dxa" w:w="1632"/>
            <w:tcBorders>
              <w:top w:val="single" w:sz="4" w:color="BDC3C7"/>
              <w:bottom w:val="single" w:sz="4" w:color="BDC3C7"/>
              <w:left w:val="single" w:sz="4" w:color="BDC3C7"/>
              <w:right w:val="single" w:sz="4" w:color="BDC3C7"/>
            </w:tcBorders>
          </w:tcPr>
          <w:p>
            <w:r>
              <w:t>-0.24</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$1.55</w:t>
            </w:r>
          </w:p>
        </w:tc>
        <w:tc>
          <w:tcPr>
            <w:tcW w:type="dxa" w:w="1632"/>
            <w:tcBorders>
              <w:top w:val="single" w:sz="4" w:color="BDC3C7"/>
              <w:bottom w:val="single" w:sz="4" w:color="BDC3C7"/>
              <w:left w:val="single" w:sz="4" w:color="BDC3C7"/>
              <w:right w:val="single" w:sz="4" w:color="BDC3C7"/>
            </w:tcBorders>
          </w:tcPr>
          <w:p>
            <w:r>
              <w:t>$1.05</w:t>
            </w:r>
          </w:p>
        </w:tc>
        <w:tc>
          <w:tcPr>
            <w:tcW w:type="dxa" w:w="1632"/>
            <w:tcBorders>
              <w:top w:val="single" w:sz="4" w:color="BDC3C7"/>
              <w:bottom w:val="single" w:sz="4" w:color="BDC3C7"/>
              <w:left w:val="single" w:sz="4" w:color="BDC3C7"/>
              <w:right w:val="single" w:sz="4" w:color="BDC3C7"/>
            </w:tcBorders>
          </w:tcPr>
          <w:p>
            <w:r>
              <w:t>-0.50</w:t>
            </w:r>
          </w:p>
        </w:tc>
        <w:tc>
          <w:tcPr>
            <w:tcW w:type="dxa" w:w="1632"/>
            <w:tcBorders>
              <w:top w:val="single" w:sz="4" w:color="BDC3C7"/>
              <w:bottom w:val="single" w:sz="4" w:color="BDC3C7"/>
              <w:left w:val="single" w:sz="4" w:color="BDC3C7"/>
              <w:right w:val="single" w:sz="4" w:color="BDC3C7"/>
            </w:tcBorders>
          </w:tcPr>
          <w:p>
            <w:r>
              <w:t>non_public_inference</w:t>
            </w:r>
          </w:p>
        </w:tc>
      </w:tr>
    </w:tbl>
    <w:p>
      <w:pPr>
        <w:pStyle w:val="SubHeading"/>
      </w:pPr>
      <w:r>
        <w:t>Claim 1 — consensus_fy_eps</w:t>
      </w:r>
    </w:p>
    <w:p>
      <w:r>
        <w:t>Consensus FY2026 EPS of $1.09 requires 2H 2026 gross margins to recover well above the Q2 guide of 39% non-GAAP, but management explicitly flagged that 18A ramp costs will be 'meaningfully larger' in Q2 and will continue scaling through 2H as volumes grow — creating a structural gross margin headwind that the consensus beat-rate extrapolation ignores. The Q1 inventory benefit (previously reserved inventory released) was explicitly called out as non-recurring, removing a ~$0.06+ tailwind from the run-rate.</w:t>
      </w:r>
    </w:p>
    <w:p>
      <w:r>
        <w:t>Street anchor: $1.09 (yfinance consensus FY2026) → Our view: +85.0%</w:t>
      </w:r>
    </w:p>
    <w:p>
      <w:pPr>
        <w:pStyle w:val="PullQuote"/>
      </w:pPr>
      <w:r>
        <w:t>“Our Q2 gross margin guide declines modestly from Q1 due to a meaningfully larger contribution from Intel 18A, still early in its ramp, and some inventory benefits in Q1 that aren't expected to repeat in Q2.”  (transcript)</w:t>
      </w:r>
    </w:p>
    <w:p>
      <w:pPr>
        <w:pStyle w:val="PullQuote"/>
      </w:pPr>
      <w:r>
        <w:t>“constraints and rising prices around key components like memory, wafers, and substrates”  (transcript)</w:t>
      </w:r>
    </w:p>
    <w:p>
      <w:pPr>
        <w:pStyle w:val="PullQuote"/>
      </w:pPr>
      <w:r>
        <w:t>“At the midpoint of $14.3 billion, we forecast a gross margin of 39%, a tax rate of 11%, an EPS of 20 cents, all on a non-GAAP basis.”  (transcript)</w:t>
      </w:r>
    </w:p>
    <w:p>
      <w:r>
        <w:t>Why not consensus: Sell-side analysts are anchoring on the six-quarter beat-and-raise pattern and extrapolating non-GAAP gross margin improvement linearly through 2H 2026, without adequately modeling the disclosed Q2 sequential gross margin decline as a signal that 18A ramp costs will compress margins through the year. The consensus also does not fully reconcile the GAAP gross margin (FY2025: 34.8%) against the non-GAAP narrative, and the PPI +13.1% YoY input cost pressure is not explicitly modeled in most sell-side COGS assumptions.</w:t>
      </w:r>
    </w:p>
    <w:p>
      <w:pPr>
        <w:pStyle w:val="KillCriteria"/>
      </w:pPr>
      <w:r>
        <w:t>Falsifier: If Q2 2026 non-GAAP gross margin prints above 40% (above the 39% guide) and management raises 2H gross margin guidance on the Q2 call, the margin compression thesis is wrong. Similarly, if the Apple foundry deal is confirmed with binding volume commitments, the Foundry loss trajectory improves faster than modeled.</w:t>
      </w:r>
    </w:p>
    <w:p>
      <w:pPr>
        <w:pStyle w:val="SubHeading"/>
      </w:pPr>
      <w:r>
        <w:t>Claim 2 — consensus_next_fy_eps</w:t>
      </w:r>
    </w:p>
    <w:p>
      <w:r>
        <w:t>FY2027 consensus EPS of $1.55 requires Intel Foundry losses to narrow by $3-5B annually from the current ~$9-10B annualized run-rate, which in turn requires meaningful external foundry revenue — but management's own timeline places 14A customer commitment decisions in 2H 2026, with capacity build-out and revenue conversion following in 2028 at the earliest, making the FY2027 Foundry improvement assumption structurally unsupported by any disclosed commitment.</w:t>
      </w:r>
    </w:p>
    <w:p>
      <w:r>
        <w:t>Street anchor: $1.55 (yfinance consensus FY2027) → Our view: $1.05</w:t>
      </w:r>
    </w:p>
    <w:p>
      <w:pPr>
        <w:pStyle w:val="PullQuote"/>
      </w:pPr>
      <w:r>
        <w:t>“A couple of customers, we are already engaging about the PDK 0.5, and they are looking at the test chip... that's why I mentioned the second half of this year they're starting to satisfy, then they can starting to say, okay, now we need this volume and we need particular fat from”  (transcript)</w:t>
      </w:r>
    </w:p>
    <w:p>
      <w:pPr>
        <w:pStyle w:val="PullQuote"/>
      </w:pPr>
      <w:r>
        <w:t>“it does not make sense to build out significant capacity there until we know that we have the customers that will accept that demand.”  (transcript)</w:t>
      </w:r>
    </w:p>
    <w:p>
      <w:pPr>
        <w:pStyle w:val="PullQuote"/>
      </w:pPr>
      <w:r>
        <w:t>“External foundry revenue was $174 million in the quarter.”  (transcript)</w:t>
      </w:r>
    </w:p>
    <w:p>
      <w:r>
        <w:t>Why not consensus: Sell-side analysts are modeling FY2027 EPS top-down from a revenue growth assumption (~11% per consensus) and applying an optimistic operating leverage assumption, without reconciling the Foundry loss trajectory to the disclosed 14A customer engagement timeline. The $0.94-$2.21 EPS range for FY2027 reflects genuine analyst uncertainty, but the mean of $1.55 is anchored on a Foundry improvement that has no binding customer commitment disclosed. Analysts covering Intel tend to model Foundry improvement as a smooth function of 18A yield progress rather than as a step-function dependent on external customer decisions that management has explicitly tied to 2H 2026 commitments.</w:t>
      </w:r>
    </w:p>
    <w:p>
      <w:pPr>
        <w:pStyle w:val="KillCriteria"/>
      </w:pPr>
      <w:r>
        <w:t>Falsifier: If Intel announces a binding external foundry customer commitment (particularly Apple or a major fabless semiconductor company) with disclosed volume and revenue terms before the Q3 2026 earnings call, the FY2027 Foundry loss improvement becomes credible and the $1.55 consensus EPS is achievable. Also falsified if Intel Foundry operating losses narrow below -$1.5B/quarter by Q4 2026.</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 Growth</w:t>
            </w:r>
          </w:p>
        </w:tc>
        <w:tc>
          <w:tcPr>
            <w:tcW w:type="dxa" w:w="2448"/>
            <w:tcBorders>
              <w:top w:val="single" w:sz="4" w:color="BDC3C7"/>
              <w:bottom w:val="single" w:sz="4" w:color="BDC3C7"/>
              <w:left w:val="single" w:sz="4" w:color="BDC3C7"/>
              <w:right w:val="single" w:sz="4" w:color="BDC3C7"/>
            </w:tcBorders>
          </w:tcPr>
          <w:p>
            <w:r>
              <w:rPr>
                <w:b/>
              </w:rPr>
              <w:t>+40.50%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CCG revenue growth</w:t>
            </w:r>
          </w:p>
        </w:tc>
        <w:tc>
          <w:tcPr>
            <w:tcW w:type="dxa" w:w="2448"/>
            <w:tcBorders>
              <w:top w:val="single" w:sz="4" w:color="BDC3C7"/>
              <w:bottom w:val="single" w:sz="4" w:color="BDC3C7"/>
              <w:left w:val="single" w:sz="4" w:color="BDC3C7"/>
              <w:right w:val="single" w:sz="4" w:color="BDC3C7"/>
            </w:tcBorders>
          </w:tcPr>
          <w:p>
            <w:r>
              <w:t>+5.00%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CCG delivered $7.7B in Q1 2026 (down 6% sequentially from Q4 2025's $8.2B, but better than expectations per the Q1 2026 call). The Q1 2026 call noted AIPC revenue grew 8% sequentially and now represents &gt;60% of client CP</w:t>
            </w:r>
          </w:p>
        </w:tc>
      </w:tr>
      <w:tr>
        <w:tc>
          <w:tcPr>
            <w:tcW w:type="dxa" w:w="2448"/>
            <w:tcBorders>
              <w:top w:val="single" w:sz="4" w:color="BDC3C7"/>
              <w:bottom w:val="single" w:sz="4" w:color="BDC3C7"/>
              <w:left w:val="single" w:sz="4" w:color="BDC3C7"/>
              <w:right w:val="single" w:sz="4" w:color="BDC3C7"/>
            </w:tcBorders>
          </w:tcPr>
          <w:p>
            <w:r>
              <w:t xml:space="preserve">    DCAI revenue growth</w:t>
            </w:r>
          </w:p>
        </w:tc>
        <w:tc>
          <w:tcPr>
            <w:tcW w:type="dxa" w:w="2448"/>
            <w:tcBorders>
              <w:top w:val="single" w:sz="4" w:color="BDC3C7"/>
              <w:bottom w:val="single" w:sz="4" w:color="BDC3C7"/>
              <w:left w:val="single" w:sz="4" w:color="BDC3C7"/>
              <w:right w:val="single" w:sz="4" w:color="BDC3C7"/>
            </w:tcBorders>
          </w:tcPr>
          <w:p>
            <w:r>
              <w:t>+15.00%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DCAI delivered $5.1B in Q1 2026, up 7% sequentially and 22% YoY, 'well above expectations' per the Q1 2026 call. The Q1 call noted ASIC revenue up &gt;30% sequentially and nearly doubling YoY. Management stated 'we signaled</w:t>
            </w:r>
          </w:p>
        </w:tc>
      </w:tr>
      <w:tr>
        <w:tc>
          <w:tcPr>
            <w:tcW w:type="dxa" w:w="2448"/>
            <w:tcBorders>
              <w:top w:val="single" w:sz="4" w:color="BDC3C7"/>
              <w:bottom w:val="single" w:sz="4" w:color="BDC3C7"/>
              <w:left w:val="single" w:sz="4" w:color="BDC3C7"/>
              <w:right w:val="single" w:sz="4" w:color="BDC3C7"/>
            </w:tcBorders>
          </w:tcPr>
          <w:p>
            <w:r>
              <w:t xml:space="preserve">    Intel Foundry revenue growth</w:t>
            </w:r>
          </w:p>
        </w:tc>
        <w:tc>
          <w:tcPr>
            <w:tcW w:type="dxa" w:w="2448"/>
            <w:tcBorders>
              <w:top w:val="single" w:sz="4" w:color="BDC3C7"/>
              <w:bottom w:val="single" w:sz="4" w:color="BDC3C7"/>
              <w:left w:val="single" w:sz="4" w:color="BDC3C7"/>
              <w:right w:val="single" w:sz="4" w:color="BDC3C7"/>
            </w:tcBorders>
          </w:tcPr>
          <w:p>
            <w:r>
              <w:t>+15.00%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Intel Foundry delivered $5.4B in Q1 2026, up 20% sequentially from Q4 2025's $4.5B, driven by increased EUV wafer mix and 18A ramp. External foundry revenue was $174M in Q1 2026 vs. $222M in Q4 2025 — a sequential declin</w:t>
            </w:r>
          </w:p>
        </w:tc>
      </w:tr>
      <w:tr>
        <w:tc>
          <w:tcPr>
            <w:tcW w:type="dxa" w:w="2448"/>
            <w:tcBorders>
              <w:top w:val="single" w:sz="4" w:color="BDC3C7"/>
              <w:bottom w:val="single" w:sz="4" w:color="BDC3C7"/>
              <w:left w:val="single" w:sz="4" w:color="BDC3C7"/>
              <w:right w:val="single" w:sz="4" w:color="BDC3C7"/>
            </w:tcBorders>
          </w:tcPr>
          <w:p>
            <w:r>
              <w:t xml:space="preserve">    Blended FY2026 revenue growth</w:t>
            </w:r>
          </w:p>
        </w:tc>
        <w:tc>
          <w:tcPr>
            <w:tcW w:type="dxa" w:w="2448"/>
            <w:tcBorders>
              <w:top w:val="single" w:sz="4" w:color="BDC3C7"/>
              <w:bottom w:val="single" w:sz="4" w:color="BDC3C7"/>
              <w:left w:val="single" w:sz="4" w:color="BDC3C7"/>
              <w:right w:val="single" w:sz="4" w:color="BDC3C7"/>
            </w:tcBorders>
          </w:tcPr>
          <w:p>
            <w:r>
              <w:t>+5.50%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 xml:space="preserve">Blending CCG (~5% growth on ~$31B base), DCAI (~25% growth on ~$18B base), Foundry (~15% growth on ~$19B base), and Other (~flat on ~$2.5B base) yields approximately $57.2B for FY2026, implying ~8.2% growth vs. FY2025's </w:t>
            </w:r>
          </w:p>
        </w:tc>
      </w:tr>
    </w:tbl>
    <w:p>
      <w:pPr>
        <w:pStyle w:val="SubHeading"/>
      </w:pPr>
      <w:r>
        <w:t>Bear revisions:</w:t>
      </w:r>
    </w:p>
    <w:p>
      <w:pPr>
        <w:pStyle w:val="ListBullet"/>
      </w:pPr>
      <w:r>
        <w:t>Revenue Growth.Blended FY2026 revenue growth: 8.2 → 5.5 — Bear case: 2H supply ramp is further constrained by substrate/memory shortages (management flagged 'more measured pace than anticipated'), DCAI demand softens if enterprise AI capex pauses amid macro uncertainty (U. of Michigan sentiment 49.8, down 4.6% YoY), and the Apple foundry deal proves to be a political announcement without binding volume commitments. This would yield FY2026 revenue of ~$55.8B, ~5% below consensus.</w:t>
      </w:r>
    </w:p>
    <w:p>
      <w:pPr>
        <w:pStyle w:val="ListBullet"/>
      </w:pPr>
      <w:r>
        <w:t>Revenue Growth.DCAI revenue growth: 25.0 → 15.0 — Bear case: AMD's MI300X and next-generation GPU accelerators continue to capture AI inference workloads, and ARM-based server CPUs (Ampere, AWS Graviton) erode Intel's x86 server share. Management never directly addresses AMD or ARM competitive share loss by name in the transcripts — a [SILENCE] flagged in the social topic analysis. If DCAI growth decelerates to 15% from our base case of 25%, FY2026 revenue falls ~$1.5B short of our estimate.</w:t>
      </w:r>
    </w:p>
    <w:p>
      <w:pPr>
        <w:pStyle w:val="SubHeading"/>
      </w:pPr>
      <w:r>
        <w:t>Comp decomposition check:</w:t>
      </w:r>
    </w:p>
    <w:p>
      <w:pPr>
        <w:pStyle w:val="ListBullet"/>
      </w:pPr>
      <w:r>
        <w:t>Schema mismatch: peer comps fit 'semiconductors' but the brief picked 'general'. The mechanical model will use generic defaults; final EPS may be unreliable.</w:t>
      </w:r>
    </w:p>
    <w:p>
      <w:pPr>
        <w:pStyle w:val="ListBullet"/>
      </w:pPr>
      <w:r>
        <w:t>Thin brief drivers (1 drivers / 4 components) on schema 'general'. The mechanical model and edge variant back-solve may be unreliable.</w:t>
      </w:r>
    </w:p>
    <w:p>
      <w:pPr>
        <w:pStyle w:val="SectionHeading"/>
      </w:pPr>
      <w:r>
        <w:t>3. Consensus Gap &amp; Valuation</w:t>
      </w:r>
    </w:p>
    <w:p>
      <w:r>
        <w:t>Our EPS: $0.85  =  baseline $1.09  +  Σ claim impacts $-0.24 (22.0% below consensus $1.09)</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$1.09</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$1.09 → +85.0% (Δ -24.0%)</w:t>
            </w:r>
          </w:p>
        </w:tc>
        <w:tc>
          <w:tcPr>
            <w:tcW w:type="dxa" w:w="2448"/>
            <w:tcBorders>
              <w:top w:val="single" w:sz="4" w:color="BDC3C7"/>
              <w:bottom w:val="single" w:sz="4" w:color="BDC3C7"/>
              <w:left w:val="single" w:sz="4" w:color="BDC3C7"/>
              <w:right w:val="single" w:sz="4" w:color="BDC3C7"/>
            </w:tcBorders>
          </w:tcPr>
          <w:p>
            <w:r>
              <w:t>Direct EPS delta: $-0.24/share</w:t>
            </w:r>
          </w:p>
        </w:tc>
        <w:tc>
          <w:tcPr>
            <w:tcW w:type="dxa" w:w="2448"/>
            <w:tcBorders>
              <w:top w:val="single" w:sz="4" w:color="BDC3C7"/>
              <w:bottom w:val="single" w:sz="4" w:color="BDC3C7"/>
              <w:left w:val="single" w:sz="4" w:color="BDC3C7"/>
              <w:right w:val="single" w:sz="4" w:color="BDC3C7"/>
            </w:tcBorders>
          </w:tcPr>
          <w:p>
            <w:r>
              <w:t>-0.24</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-0.24</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$0.85</w:t>
            </w:r>
          </w:p>
        </w:tc>
      </w:tr>
    </w:tbl>
    <w:p>
      <w:pPr>
        <w:pStyle w:val="PullQuote"/>
      </w:pPr>
      <w:r>
        <w:t xml:space="preserve">  ⚠ 1 claim(s) target a different fiscal period than the current_fy baseline and weren't summed: consensus_next_fy_eps</w:t>
      </w:r>
    </w:p>
    <w:p>
      <w:r>
        <w:t>Our estimate is $0.24 (22.0%) below consensus $1.09. No single driver within plausible bounds can close the gap to consensus when other drivers are held at our values; the EPS variant is diffuse (top magnitude: Revenue Growth.CCG revenue growth). Variant appears NOT fully priced in based on available market data. Next catalyst: Next quarterly earnings report (2026-07-23 (32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 Growth.CCG revenue growth</w:t>
            </w:r>
          </w:p>
        </w:tc>
        <w:tc>
          <w:tcPr>
            <w:tcW w:type="dxa" w:w="1958"/>
            <w:tcBorders>
              <w:top w:val="single" w:sz="4" w:color="BDC3C7"/>
              <w:bottom w:val="single" w:sz="4" w:color="BDC3C7"/>
              <w:left w:val="single" w:sz="4" w:color="BDC3C7"/>
              <w:right w:val="single" w:sz="4" w:color="BDC3C7"/>
            </w:tcBorders>
          </w:tcPr>
          <w:p>
            <w:r>
              <w:t>+5.00</w:t>
            </w:r>
          </w:p>
        </w:tc>
        <w:tc>
          <w:tcPr>
            <w:tcW w:type="dxa" w:w="1958"/>
            <w:tcBorders>
              <w:top w:val="single" w:sz="4" w:color="BDC3C7"/>
              <w:bottom w:val="single" w:sz="4" w:color="BDC3C7"/>
              <w:left w:val="single" w:sz="4" w:color="BDC3C7"/>
              <w:right w:val="single" w:sz="4" w:color="BDC3C7"/>
            </w:tcBorders>
          </w:tcPr>
          <w:p>
            <w:r>
              <w:t>+5.00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Revenue Growth.DCAI revenue growth</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Revenue Growth.Intel Foundry revenue growth</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0.30</w:t>
            </w:r>
          </w:p>
        </w:tc>
      </w:tr>
      <w:tr>
        <w:tc>
          <w:tcPr>
            <w:tcW w:type="dxa" w:w="1958"/>
            <w:tcBorders>
              <w:top w:val="single" w:sz="4" w:color="BDC3C7"/>
              <w:bottom w:val="single" w:sz="4" w:color="BDC3C7"/>
              <w:left w:val="single" w:sz="4" w:color="BDC3C7"/>
              <w:right w:val="single" w:sz="4" w:color="BDC3C7"/>
            </w:tcBorders>
          </w:tcPr>
          <w:p>
            <w:r>
              <w:t>Revenue Growth.Blended FY2026 revenue growth</w:t>
            </w:r>
          </w:p>
        </w:tc>
        <w:tc>
          <w:tcPr>
            <w:tcW w:type="dxa" w:w="1958"/>
            <w:tcBorders>
              <w:top w:val="single" w:sz="4" w:color="BDC3C7"/>
              <w:bottom w:val="single" w:sz="4" w:color="BDC3C7"/>
              <w:left w:val="single" w:sz="4" w:color="BDC3C7"/>
              <w:right w:val="single" w:sz="4" w:color="BDC3C7"/>
            </w:tcBorders>
          </w:tcPr>
          <w:p>
            <w:r>
              <w:t>+5.50</w:t>
            </w:r>
          </w:p>
        </w:tc>
        <w:tc>
          <w:tcPr>
            <w:tcW w:type="dxa" w:w="1958"/>
            <w:tcBorders>
              <w:top w:val="single" w:sz="4" w:color="BDC3C7"/>
              <w:bottom w:val="single" w:sz="4" w:color="BDC3C7"/>
              <w:left w:val="single" w:sz="4" w:color="BDC3C7"/>
              <w:right w:val="single" w:sz="4" w:color="BDC3C7"/>
            </w:tcBorders>
          </w:tcPr>
          <w:p>
            <w:r>
              <w:t>+5.50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0.35</w:t>
            </w:r>
          </w:p>
        </w:tc>
      </w:tr>
    </w:tbl>
    <w:p>
      <w:r>
        <w:t>Priced in: not fully — Variant (-22.0%) exceeds implied move (6.8%)</w:t>
      </w:r>
    </w:p>
    <w:p>
      <w:r>
        <w:t>Edge verdict: ACTIONABLE_EDGE (score 0.280).</w:t>
      </w:r>
    </w:p>
    <w:p>
      <w:pPr>
        <w:pStyle w:val="SectionHeading"/>
      </w:pPr>
      <w:r>
        <w:t>4. Catalysts</w:t>
      </w:r>
    </w:p>
    <w:p>
      <w:pPr>
        <w:pStyle w:val="ListBullet"/>
      </w:pPr>
      <w:r>
        <w:t>Next quarterly earnings report (2026-07-23 (32 days)) — resolves revenue + margins + guidance; confirms or challenges</w:t>
      </w:r>
    </w:p>
    <w:p>
      <w:pPr>
        <w:pStyle w:val="ListBullet"/>
      </w:pPr>
      <w:r>
        <w:t>Resolution: Intel's supply ramp will drive strong 2H 2026 revenue acceleration to hit consen (Multi-year thesis -- patience required) — resolves Revenue Growth; confirms or challenges</w:t>
      </w:r>
    </w:p>
    <w:p>
      <w:pPr>
        <w:pStyle w:val="ListBullet"/>
      </w:pPr>
      <w:r>
        <w:t>Resolution: Intel Foundry losses will narrow meaningfully in FY2027, supporting $1.55 consen (Multi-year thesis -- patience required) — resolves Gross Margin; confirms or challenges</w:t>
      </w:r>
    </w:p>
    <w:p>
      <w:pPr>
        <w:pStyle w:val="ListBullet"/>
      </w:pPr>
      <w:r>
        <w:t>Resolution: Non-GAAP gross margin recovery to 40%+ is durable and will expand through 2H 202 (Multi-year thesis -- patience required) — resolves Gross Margin; confirms or challenges</w:t>
      </w:r>
    </w:p>
    <w:p>
      <w:pPr>
        <w:pStyle w:val="ListBullet"/>
      </w:pPr>
      <w:r>
        <w:t>Binding external foundry customer commitments: management describes 14A customer engagements as 'tes (Unknown timing) — resolves multiple; resolves uncertainty</w:t>
      </w:r>
    </w:p>
    <w:p>
      <w:pPr>
        <w:pStyle w:val="ListBullet"/>
      </w:pPr>
      <w:r>
        <w:t>Apple-Intel foundry partnership terms: the Trump announcement (June 20, 2026) has not been confirmed (Unknown timing) — resolves multiple; resolves uncertainty</w:t>
      </w:r>
    </w:p>
    <w:p>
      <w:pPr>
        <w:pStyle w:val="SectionHeading"/>
      </w:pPr>
      <w:r>
        <w:t>5. Risks, Blind Spots &amp; Kill Criteria</w:t>
      </w:r>
    </w:p>
    <w:p>
      <w:pPr>
        <w:pStyle w:val="SubHeading"/>
      </w:pPr>
      <w:r>
        <w:t>Top risks:</w:t>
      </w:r>
    </w:p>
    <w:p>
      <w:pPr>
        <w:pStyle w:val="ListBullet"/>
      </w:pPr>
      <w:r>
        <w:t>Intel Foundry losses will narrow meaningfully in FY2027, supporting $1.55 consensus EPS — counter: External foundry revenue was only $174M in Q1 2026 and $222M in Q4 2025 — annualizing to less than $800M vs. the ~$9-10B annual Foundry operating loss run-rate. Management's own timeline for 14A customer commitments is 2H 2026, with revenue conversion following in 2027-2028. The CFO said 'it does not make sense to build out significant capacity there until we know that we have the customers' — meaning the Foundry loss improvement is gated on customer decisions that haven't been made yet. [serious]</w:t>
      </w:r>
    </w:p>
    <w:p>
      <w:pPr>
        <w:pStyle w:val="ListBullet2"/>
      </w:pPr>
      <w:r>
        <w:rPr>
          <w:i/>
        </w:rPr>
        <w:t>→ Research confirms: SEC 10-Q and multiple earnings sources confirm external foundry revenue of $174M in Q1 2026 against $5.4B total foundry revenue, validating the claim's numerical accuracy and relative scale. (sec.gov)</w:t>
      </w:r>
    </w:p>
    <w:p>
      <w:pPr>
        <w:pStyle w:val="ListBullet"/>
      </w:pPr>
      <w:r>
        <w:t>Apple-Intel foundry partnership is a transformative catalyst for external foundry revenue — counter: Management has made zero reference to any Apple partnership in any of the three quarters of transcripts provided. The news originated from a Trump announcement (June 20, 2026) with no Intel or Apple confirmation. The social topic analysis flags this as a [SILENCE] with retail actively debating whether it is 'fake trump pump.' The CLO (Boise Miller) sold 36.4% of her stake at $82.77 avg between February and May 2026 — before the stock's apparent surge to $140+ — which is not dispositive but is a mild negative signal from the executive most likely to know the legal status of any partnership agreement. [serious]</w:t>
      </w:r>
    </w:p>
    <w:p>
      <w:pPr>
        <w:pStyle w:val="ListBullet2"/>
      </w:pPr>
      <w:r>
        <w:rPr>
          <w:i/>
        </w:rPr>
        <w:t>→ Research [UPDATES]: Trump announced the Apple-Intel partnership on June 18, 2026 (not June 20 as stated in brief). Critically, neither company has issued formal confirmation; sources describe the arrangement as preliminary with no binding agreement disclosed. The announcement was made via Truth Social post, not a formal business agreement. (investing.com)</w:t>
      </w:r>
    </w:p>
    <w:p>
      <w:pPr>
        <w:pStyle w:val="ListBullet2"/>
      </w:pPr>
      <w:r>
        <w:rPr>
          <w:i/>
        </w:rPr>
        <w:t>→ Research: Apple-Intel deal is directly facilitated by U.S. government as 10% equity stakeholder and active mediator. Government holds warrant for additional 5% if Intel divests foundry majority. Deal structure includes CHIPS Act conditionality: Intel must maintain 51% foundry control or government warrant triggers. (sec.gov)</w:t>
      </w:r>
    </w:p>
    <w:p>
      <w:pPr>
        <w:pStyle w:val="ListBullet"/>
      </w:pPr>
      <w:r>
        <w:t>Intel's supply ramp will drive strong 2H 2026 revenue acceleration to hit consensus $58.7B — counter: Management explicitly stated in the Q1 2026 call that the 2H supply ramp will be 'at a more measured pace than we anticipated 90 days ago, reflecting the constraints and rising prices around key components like memory, wafers, and substrates.' This is a direct downgrade of the supply ramp pace from the Q4 2025 call's more bullish framing, and it was made in the same call where the six-quarter beat streak was celebrated — analysts focused on the beat may have missed the 2H pace revision. [moderate]</w:t>
      </w:r>
    </w:p>
    <w:p>
      <w:pPr>
        <w:pStyle w:val="ListBullet2"/>
      </w:pPr>
      <w:r>
        <w:rPr>
          <w:i/>
        </w:rPr>
        <w:t>→ Research: Pat Gelsinger retired Dec 2024; Lip-Bu Tan appointed CEO March 2025 with proven track record stabilizing semiconductor businesses. Search confirms new CEO identity and relevant operational execution credentials for foundry turnaround assessment. (technologymagazine.com)</w:t>
      </w:r>
    </w:p>
    <w:p>
      <w:pPr>
        <w:pStyle w:val="KillCriteria"/>
      </w:pPr>
      <w:r>
        <w:t>What would change our mind: Unable to close gap: Binding external foundry customer commitments: management describes 14A customer engagements as 'test chip' and 'PDK 0.5' stage — no disclosed binding volume commitments or revenue contracts. This is the single most important missing data point for the FY2027 EPS thesis.</w:t>
      </w:r>
    </w:p>
    <w:p>
      <w:pPr>
        <w:pStyle w:val="SectionHeading"/>
      </w:pPr>
      <w:r>
        <w:t>Appendix</w:t>
      </w:r>
    </w:p>
    <w:p>
      <w:pPr>
        <w:pStyle w:val="SubHeading"/>
      </w:pPr>
      <w:r>
        <w:t>Business context:</w:t>
      </w:r>
    </w:p>
    <w:p>
      <w:r>
        <w:t>Intel Corporation designs and manufactures semiconductors, primarily x86 CPUs for client computing (CCG) and data center/AI (DCAI), while also operating an internal foundry (Intel Foundry) that produces wafers for its own products and, increasingly, external customers. Revenue is generated through product sales of CPUs, ASICs, and related silicon, plus nascent external foundry services revenue. The company is in a multi-year turnaround under CEO Lip Bu Tan, rebuilding manufacturing competitiveness via Intel 18A and 14A process nodes while simultaneously restructuring its cost base.</w:t>
      </w:r>
    </w:p>
    <w:p>
      <w:pPr>
        <w:pStyle w:val="SubHeading"/>
      </w:pPr>
      <w:r>
        <w:t>Evidence gaps (research TODO):</w:t>
      </w:r>
    </w:p>
    <w:p>
      <w:pPr>
        <w:pStyle w:val="ListBullet"/>
      </w:pPr>
      <w:r>
        <w:t>Binding external foundry customer commitments: management describes 14A customer engagements as 'test chip' and 'PDK 0.5' stage — no disclosed binding volume commitments or revenue contracts. This is the single most important missing data point for the FY2027 EPS thesis.</w:t>
      </w:r>
    </w:p>
    <w:p>
      <w:pPr>
        <w:pStyle w:val="ListBullet"/>
      </w:pPr>
      <w:r>
        <w:t>Apple-Intel foundry partnership terms: the Trump announcement (June 20, 2026) has not been confirmed by Intel or Apple management. The nature of any agreement (MOU, letter of intent, binding production contract, volume commitments) is unknown and would materially change the Foundry revenue trajectory.</w:t>
      </w:r>
    </w:p>
    <w:p>
      <w:pPr>
        <w:pStyle w:val="ListBullet"/>
      </w:pPr>
      <w:r>
        <w:t>18A yield trajectory: management disclosed 'better yields on Intel 18A' in Q1 2026 but provided no quantitative yield data. The pace of yield improvement is the key variable for Foundry loss narrowing — without disclosed yield metrics, the margin recovery timeline is speculative.</w:t>
      </w:r>
    </w:p>
    <w:p>
      <w:pPr>
        <w:pStyle w:val="ListBullet"/>
      </w:pPr>
      <w:r>
        <w:t>GAAP tax rate normalization timeline: FY2025 GAAP tax rate was 98.3% (vs. 11% non-GAAP guided for Q2 2026), reflecting deferred tax asset valuation allowances. The timeline for GAAP tax normalization — which would be a significant GAAP EPS tailwind — is not disclosed.</w:t>
      </w:r>
    </w:p>
    <w:p>
      <w:pPr>
        <w:pStyle w:val="ListBullet"/>
      </w:pPr>
      <w:r>
        <w:t>Substrate and memory supply constraints: management flagged 'rising prices around key components like memory, wafers, and substrates' as a constraint on the 2H supply ramp, but provided no quantification of the impact on revenue or margins. The PPI +13.1% YoY is a macro proxy but not a company-specific disclosure.</w:t>
      </w:r>
    </w:p>
    <w:p>
      <w:pPr>
        <w:pStyle w:val="ListBullet"/>
      </w:pPr>
      <w:r>
        <w:t>Intel Foundry external customer pipeline beyond 14A: external foundry revenue was $174M in Q1 2026, primarily from US government projects. The pipeline of non-government external customers and their volume commitments is not disclosed.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