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INTC — INTC</w:t>
      </w:r>
    </w:p>
    <w:p>
      <w:pPr>
        <w:pStyle w:val="SmallMeta"/>
      </w:pPr>
      <w:r>
        <w:t>As of 2026-06-22  |  Schema: general  |  Data: polygon+alpha_vantage (FY2025)</w:t>
      </w:r>
    </w:p>
    <w:p>
      <w:pPr>
        <w:pStyle w:val="SubHeading"/>
      </w:pPr>
      <w:r>
        <w:rPr>
          <w:color w:val="8C1D40"/>
        </w:rPr>
        <w:t>Direction: SHORT | Current: $140.47</w:t>
      </w:r>
    </w:p>
    <w:p>
      <w:pPr>
        <w:pStyle w:val="SubHeading"/>
      </w:pPr>
      <w:r>
        <w:t>Summary</w:t>
      </w:r>
    </w:p>
    <w:p>
      <w:pPr>
        <w:pStyle w:val="ListBullet"/>
      </w:pPr>
      <w:r>
        <w:t>Thesis: The street's FY2026 consensus EPS of $1.09 (non-GAAP) implies a GAAP EPS recovery that is structurally impossible given Intel Foundry's ~$2.4B/quarter operating loss run-rate and the intentional step-up in 14A investment; simultaneously, the consensus FY2026 revenue of $58.7B embeds a H2 supply ramp that management itself walked back on the Q1 2026 call ('at a more measured pace than we anticipated 90 days ago'), creating a top-line miss risk that compounds the margin problem. The Apple foundry deal, which is driving the stock to $140+, has zero management confirmation across three quarters of transcripts.</w:t>
      </w:r>
    </w:p>
    <w:p>
      <w:pPr>
        <w:pStyle w:val="ListBullet"/>
      </w:pPr>
      <w:r>
        <w:t>Next catalyst: Next quarterly earnings report (2026-07-23 (31 days))</w:t>
      </w:r>
    </w:p>
    <w:p>
      <w:pPr>
        <w:pStyle w:val="ListBullet"/>
      </w:pPr>
      <w:r>
        <w:t>Top risk: Intel Foundry losses are declining as 18A yields improve, creating a path to breakeven that supports EPS expansion.</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'semiconductors'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3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$0.21</w:t>
            </w:r>
          </w:p>
        </w:tc>
        <w:tc>
          <w:tcPr>
            <w:tcW w:type="dxa" w:w="1399"/>
            <w:tcBorders>
              <w:top w:val="single" w:sz="4" w:color="BDC3C7"/>
              <w:bottom w:val="single" w:sz="4" w:color="BDC3C7"/>
              <w:left w:val="single" w:sz="4" w:color="BDC3C7"/>
              <w:right w:val="single" w:sz="4" w:color="BDC3C7"/>
            </w:tcBorders>
          </w:tcPr>
          <w:p>
            <w:r>
              <w:t>$0.20 – $0.33</w:t>
            </w:r>
          </w:p>
        </w:tc>
        <w:tc>
          <w:tcPr>
            <w:tcW w:type="dxa" w:w="1399"/>
            <w:tcBorders>
              <w:top w:val="single" w:sz="4" w:color="BDC3C7"/>
              <w:bottom w:val="single" w:sz="4" w:color="BDC3C7"/>
              <w:left w:val="single" w:sz="4" w:color="BDC3C7"/>
              <w:right w:val="single" w:sz="4" w:color="BDC3C7"/>
            </w:tcBorders>
          </w:tcPr>
          <w:p>
            <w:r>
              <w:t>33</w:t>
            </w:r>
          </w:p>
        </w:tc>
        <w:tc>
          <w:tcPr>
            <w:tcW w:type="dxa" w:w="1399"/>
            <w:tcBorders>
              <w:top w:val="single" w:sz="4" w:color="BDC3C7"/>
              <w:bottom w:val="single" w:sz="4" w:color="BDC3C7"/>
              <w:left w:val="single" w:sz="4" w:color="BDC3C7"/>
              <w:right w:val="single" w:sz="4" w:color="BDC3C7"/>
            </w:tcBorders>
          </w:tcPr>
          <w:p>
            <w:r>
              <w:t>+311.3%</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↑31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$0.27</w:t>
            </w:r>
          </w:p>
        </w:tc>
        <w:tc>
          <w:tcPr>
            <w:tcW w:type="dxa" w:w="1399"/>
            <w:tcBorders>
              <w:top w:val="single" w:sz="4" w:color="BDC3C7"/>
              <w:bottom w:val="single" w:sz="4" w:color="BDC3C7"/>
              <w:left w:val="single" w:sz="4" w:color="BDC3C7"/>
              <w:right w:val="single" w:sz="4" w:color="BDC3C7"/>
            </w:tcBorders>
          </w:tcPr>
          <w:p>
            <w:r>
              <w:t>$0.22 – $0.37</w:t>
            </w:r>
          </w:p>
        </w:tc>
        <w:tc>
          <w:tcPr>
            <w:tcW w:type="dxa" w:w="1399"/>
            <w:tcBorders>
              <w:top w:val="single" w:sz="4" w:color="BDC3C7"/>
              <w:bottom w:val="single" w:sz="4" w:color="BDC3C7"/>
              <w:left w:val="single" w:sz="4" w:color="BDC3C7"/>
              <w:right w:val="single" w:sz="4" w:color="BDC3C7"/>
            </w:tcBorders>
          </w:tcPr>
          <w:p>
            <w:r>
              <w:t>33</w:t>
            </w:r>
          </w:p>
        </w:tc>
        <w:tc>
          <w:tcPr>
            <w:tcW w:type="dxa" w:w="1399"/>
            <w:tcBorders>
              <w:top w:val="single" w:sz="4" w:color="BDC3C7"/>
              <w:bottom w:val="single" w:sz="4" w:color="BDC3C7"/>
              <w:left w:val="single" w:sz="4" w:color="BDC3C7"/>
              <w:right w:val="single" w:sz="4" w:color="BDC3C7"/>
            </w:tcBorders>
          </w:tcPr>
          <w:p>
            <w:r>
              <w:t>+16.3%</w:t>
            </w:r>
          </w:p>
        </w:tc>
        <w:tc>
          <w:tcPr>
            <w:tcW w:type="dxa" w:w="1399"/>
            <w:tcBorders>
              <w:top w:val="single" w:sz="4" w:color="BDC3C7"/>
              <w:bottom w:val="single" w:sz="4" w:color="BDC3C7"/>
              <w:left w:val="single" w:sz="4" w:color="BDC3C7"/>
              <w:right w:val="single" w:sz="4" w:color="BDC3C7"/>
            </w:tcBorders>
          </w:tcPr>
          <w:p>
            <w:r>
              <w:t>≈ +0.002</w:t>
            </w:r>
          </w:p>
        </w:tc>
        <w:tc>
          <w:tcPr>
            <w:tcW w:type="dxa" w:w="1399"/>
            <w:tcBorders>
              <w:top w:val="single" w:sz="4" w:color="BDC3C7"/>
              <w:bottom w:val="single" w:sz="4" w:color="BDC3C7"/>
              <w:left w:val="single" w:sz="4" w:color="BDC3C7"/>
              <w:right w:val="single" w:sz="4" w:color="BDC3C7"/>
            </w:tcBorders>
          </w:tcPr>
          <w:p>
            <w:r>
              <w:t>↑26 / ↓3</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$1.09</w:t>
            </w:r>
          </w:p>
        </w:tc>
        <w:tc>
          <w:tcPr>
            <w:tcW w:type="dxa" w:w="1399"/>
            <w:tcBorders>
              <w:top w:val="single" w:sz="4" w:color="BDC3C7"/>
              <w:bottom w:val="single" w:sz="4" w:color="BDC3C7"/>
              <w:left w:val="single" w:sz="4" w:color="BDC3C7"/>
              <w:right w:val="single" w:sz="4" w:color="BDC3C7"/>
            </w:tcBorders>
          </w:tcPr>
          <w:p>
            <w:r>
              <w:t>$0.95 – $1.39</w:t>
            </w:r>
          </w:p>
        </w:tc>
        <w:tc>
          <w:tcPr>
            <w:tcW w:type="dxa" w:w="1399"/>
            <w:tcBorders>
              <w:top w:val="single" w:sz="4" w:color="BDC3C7"/>
              <w:bottom w:val="single" w:sz="4" w:color="BDC3C7"/>
              <w:left w:val="single" w:sz="4" w:color="BDC3C7"/>
              <w:right w:val="single" w:sz="4" w:color="BDC3C7"/>
            </w:tcBorders>
          </w:tcPr>
          <w:p>
            <w:r>
              <w:t>40</w:t>
            </w:r>
          </w:p>
        </w:tc>
        <w:tc>
          <w:tcPr>
            <w:tcW w:type="dxa" w:w="1399"/>
            <w:tcBorders>
              <w:top w:val="single" w:sz="4" w:color="BDC3C7"/>
              <w:bottom w:val="single" w:sz="4" w:color="BDC3C7"/>
              <w:left w:val="single" w:sz="4" w:color="BDC3C7"/>
              <w:right w:val="single" w:sz="4" w:color="BDC3C7"/>
            </w:tcBorders>
          </w:tcPr>
          <w:p>
            <w:r>
              <w:t>+160.1%</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↑35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$1.55</w:t>
            </w:r>
          </w:p>
        </w:tc>
        <w:tc>
          <w:tcPr>
            <w:tcW w:type="dxa" w:w="1399"/>
            <w:tcBorders>
              <w:top w:val="single" w:sz="4" w:color="BDC3C7"/>
              <w:bottom w:val="single" w:sz="4" w:color="BDC3C7"/>
              <w:left w:val="single" w:sz="4" w:color="BDC3C7"/>
              <w:right w:val="single" w:sz="4" w:color="BDC3C7"/>
            </w:tcBorders>
          </w:tcPr>
          <w:p>
            <w:r>
              <w:t>$0.94 – $2.21</w:t>
            </w:r>
          </w:p>
        </w:tc>
        <w:tc>
          <w:tcPr>
            <w:tcW w:type="dxa" w:w="1399"/>
            <w:tcBorders>
              <w:top w:val="single" w:sz="4" w:color="BDC3C7"/>
              <w:bottom w:val="single" w:sz="4" w:color="BDC3C7"/>
              <w:left w:val="single" w:sz="4" w:color="BDC3C7"/>
              <w:right w:val="single" w:sz="4" w:color="BDC3C7"/>
            </w:tcBorders>
          </w:tcPr>
          <w:p>
            <w:r>
              <w:t>39</w:t>
            </w:r>
          </w:p>
        </w:tc>
        <w:tc>
          <w:tcPr>
            <w:tcW w:type="dxa" w:w="1399"/>
            <w:tcBorders>
              <w:top w:val="single" w:sz="4" w:color="BDC3C7"/>
              <w:bottom w:val="single" w:sz="4" w:color="BDC3C7"/>
              <w:left w:val="single" w:sz="4" w:color="BDC3C7"/>
              <w:right w:val="single" w:sz="4" w:color="BDC3C7"/>
            </w:tcBorders>
          </w:tcPr>
          <w:p>
            <w:r>
              <w:t>+41.6%</w:t>
            </w:r>
          </w:p>
        </w:tc>
        <w:tc>
          <w:tcPr>
            <w:tcW w:type="dxa" w:w="1399"/>
            <w:tcBorders>
              <w:top w:val="single" w:sz="4" w:color="BDC3C7"/>
              <w:bottom w:val="single" w:sz="4" w:color="BDC3C7"/>
              <w:left w:val="single" w:sz="4" w:color="BDC3C7"/>
              <w:right w:val="single" w:sz="4" w:color="BDC3C7"/>
            </w:tcBorders>
          </w:tcPr>
          <w:p>
            <w:r>
              <w:t>↑ +0.007</w:t>
            </w:r>
          </w:p>
        </w:tc>
        <w:tc>
          <w:tcPr>
            <w:tcW w:type="dxa" w:w="1399"/>
            <w:tcBorders>
              <w:top w:val="single" w:sz="4" w:color="BDC3C7"/>
              <w:bottom w:val="single" w:sz="4" w:color="BDC3C7"/>
              <w:left w:val="single" w:sz="4" w:color="BDC3C7"/>
              <w:right w:val="single" w:sz="4" w:color="BDC3C7"/>
            </w:tcBorders>
          </w:tcPr>
          <w:p>
            <w:r>
              <w:t>↑7 / ↓0</w:t>
            </w:r>
          </w:p>
        </w:tc>
      </w:tr>
    </w:tbl>
    <w:p>
      <w:r>
        <w:t>Revenue consensus: Q $14.40B (+12.0%)  |  Q+1 $15.06B (+10.3%)  |  FY $58.71B (+11.1%)  |  FY+1 $65.34B (+11.3%)</w:t>
      </w:r>
    </w:p>
    <w:p>
      <w:r>
        <w:t>Price targets: Mean $94.14  |  Median $90.00  |  Range $45.00–$150.00  |  Current $140.33 (-32.9% to mean)</w:t>
      </w:r>
    </w:p>
    <w:p>
      <w:r>
        <w:t>Analyst ratings (n=48): Strong Buy 2 · Buy 11 · Hold 31 · Sell 2 · Strong Sell 2  ·  27% bullish</w:t>
      </w:r>
    </w:p>
    <w:p>
      <w:r>
        <w:t>Next earnings: 2026-07-23 (31d out)  ·  EPS $0.21 ($0.20–$0.33)  ·  Rev $14.40B</w:t>
      </w:r>
    </w:p>
    <w:p>
      <w:pPr>
        <w:pStyle w:val="SectionHeading"/>
      </w:pPr>
      <w:r>
        <w:t>1. Research Synthesis</w:t>
      </w:r>
    </w:p>
    <w:p>
      <w:r>
        <w:t>Intel's FY2025 financials present a stark GAAP-vs-non-GAAP reconciliation problem that the street's consensus EPS of $1.09 for FY2026 appears to paper over. The structured financials show FY2025 GAAP gross margin of 34.8% on $52.9B revenue, producing $18.4B gross profit. Management cited non-GAAP gross margin of 36.7% for FY2025 on the Q4 2025 call — a ~190bps gap versus GAAP. The more important reconciliation is at the EPS line: FY2025 GAAP EPS was -$0.06 (diluted, 4,530M shares), while management cited non-GAAP FY2025 EPS of $0.42 on the Q4 call. That is a $0.48/share GAAP-to-non-GAAP gap, implying roughly $2.2B of non-GAAP adjustments annually (stock comp, restructuring charges, amortization, period charges). The consensus FY2026 EPS of $1.09 is almost certainly a non-GAAP figure — but even on that basis, it requires a $0.67 improvement from the $0.42 non-GAAP FY2025 baseline, or roughly 160% growth. The street's 160.1% YoY EPS growth consensus is therefore internally consistent with non-GAAP, but the GAAP EPS trajectory remains deeply negative and is the number that matters for valuation discipline.</w:t>
      </w:r>
    </w:p>
    <w:p>
      <w:pPr>
        <w:pStyle w:val="ListBullet"/>
      </w:pPr>
      <w:r>
        <w:rPr>
          <w:i/>
        </w:rPr>
        <w:t>→ Research [UPDATES]: FY2025 non-GAAP EPS of $0.42 confirmed on Q4 2025 call. However, FY2025 GAAP EPS was -$0.13 (not -$0.06 as claimed), representing a $0.55 gap to non-GAAP, not $0.48. The baseline is correct but the GAAP figure and gap magnitude are materially different. (fool.com)</w:t>
      </w:r>
    </w:p>
    <w:p>
      <w:r>
        <w:t>The Intel Foundry operating loss is the structural anchor dragging GAAP results. Across the three quarters of transcripts: Q3 2025 foundry operating loss was $2.3B, Q4 2025 was $2.5B, and Q1 2026 was $2.4B — a remarkably stable ~$2.4B/quarter loss run-rate. On the Q1 2026 call, CFO Zinsner noted the Q1 foundry loss 'improved $72 million quarter over quarter as better yields across Intel 4, 3, and 18A drove higher gross margins,' but this was 'mostly offset by increased operating expenses associated with an intentional step up in Intel 14A investments.' This is the critical nuance: Intel Foundry losses are NOT declining toward breakeven — they are being held elevated by deliberate 14A investment. Management's own language on the Q4 2025 call confirmed this: 'It does not make sense to build out significant capacity there until we know that we have the customers that will accept that demand.' The chicken-and-egg dynamic on 14A means foundry losses will persist at $2.3-2.5B/quarter through at least 2026, and the consensus EPS model must be assuming either (a) these losses are excluded from non-GAAP (they partially are, via period charges), or (b) they narrow faster than management's own commentary implies.</w:t>
      </w:r>
    </w:p>
    <w:p>
      <w:pPr>
        <w:pStyle w:val="ListBullet"/>
      </w:pPr>
      <w:r>
        <w:rPr>
          <w:i/>
        </w:rPr>
        <w:t>→ Research [CONTRADICTS]: SEC 10-Q confirms Q1 2026 foundry loss of $2.4B, but Q4 2025 loss was $2.51B (not $2.5B as stated), and Q3 2025 was $2.3B. The claim's $2.4B/quarter characterization understates Q4 2025 variance and misses material quarterly volatility. (sec.gov)</w:t>
      </w:r>
    </w:p>
    <w:p>
      <w:pPr>
        <w:pStyle w:val="ListBullet"/>
      </w:pPr>
      <w:r>
        <w:rPr>
          <w:i/>
        </w:rPr>
        <w:t>→ Research: Intel received only $2.2B of $7.86B awarded CHIPS Act grants as of August 2025, with remaining $5.66B pending milestone completion. August 2025 agreement eliminated clawback provisions on dispersed funds, but slow disbursement and milestone-gating create material capex timing risk through 2026-27 revenue ramp. (csis.org)</w:t>
      </w:r>
    </w:p>
    <w:p>
      <w:r>
        <w:t>The H2 2026 supply ramp is the revenue swing factor, and management walked it back on the Q1 2026 call in language the street appears to have underweighted. The exact quote: 'We expect our factory network to continue increasing available supply in the third and fourth quarters, though at a more measured pace than we anticipated 90 days ago, reflecting [macro/geopolitical dynamics and component constraints].' The Q4 2025 call had set up a more aggressive H2 ramp expectation. To stress-test the consensus FY2026 revenue of $58.7B: Q1 2026 actual was $13.6B; Q2 2026 guidance midpoint was $14.3B. That puts H1 at approximately $27.9B. To reach $58.7B for the full year, H2 must deliver $30.8B, or roughly $15.4B/quarter — a 7.7% sequential step-up from Q2's $14.3B guide. The prior-year sequential comparison is instructive: Q3 2025 was $13.65B vs Q2 2025's $12.86B (+6.2% sequential), and Q4 2025 was $13.67B vs Q3 2025 (+0.2%). So the consensus is embedding a H2 2026 sequential ramp that is materially above the H2 2025 pattern, precisely at the moment management said the ramp would be 'more measured.' Our FY2026 revenue estimate of $57.2B reflects H2 at ~$14.7B/quarter (roughly flat to modest sequential growth from Q2), which is $1.5B below consensus for the full year.</w:t>
      </w:r>
    </w:p>
    <w:p>
      <w:pPr>
        <w:pStyle w:val="ListBullet"/>
      </w:pPr>
      <w:r>
        <w:rPr>
          <w:i/>
        </w:rPr>
        <w:t>→ Research confirms: Intel Q1 2026 actual revenue was $13.6B; Q2 2026 guidance range $13.8B–$14.8B with midpoint of $14.3B. Both figures verified in official earnings release and multiple authoritative sources. (sec.gov)</w:t>
      </w:r>
    </w:p>
    <w:p>
      <w:r>
        <w:t>The guidance beat history is genuinely impressive and is the strongest bull counter-argument. Management has beaten the Q-guide midpoint for six consecutive quarters: Q3 2025 beat by ~$350M (guided $12.8-13.8B midpoint $13.3B, printed $13.65B); Q4 2025 beat by ~$370M (guided $12.8-13.8B midpoint $13.3B, printed $13.67B); Q1 2026 beat by ~$1.4B (guided midpoint ~$12.2B, printed $13.6B — the largest beat in the series). The Q1 2026 beat was exceptional: 'Revenue, gross margin, and earnings per share were all above the high end of guidance, marking our sixth consecutive quarter of exceeding financial expectations.' Applying a $400-600M beat to the Q2 guide midpoint of $14.3B implies Q2 actual of $14.7-14.9B, which is above the current consensus of $14.4B. This beat pattern is real and is the primary reason the 31/0 upward EPS revision ratio makes sense for the current quarter. However, the Q1 beat was partly driven by 'sales of previously reserved inventory' (cited in the CCG segment discussion) and a '$0.06 one-time gain in interest and other' — both non-recurring. The Q2 gross margin guide of 39% declining from Q1's 41% non-GAAP explicitly reflects 'inventory benefits in Q1 that aren't expected to repeat in Q2,' confirming the Q1 beat had one-time components.</w:t>
      </w:r>
    </w:p>
    <w:p>
      <w:r>
        <w:t>The Apple foundry deal is the most important unresolved variable in the current stock price. The stock is trading above $140 (StockTwits messages reference $140 as support, with the stock 'jumping over 5% in overnight trading' per the June 22 news item). The Yahoo Finance article from June 21 references 'a reported Apple deal' and Trump confirming 'Apple has agreed to build chips with Intel.' Yet across all three earnings call transcripts — Q3 2025, Q4 2025, Q1 2026 — there is zero management reference to Apple as a foundry customer. The Q4 2025 call discussed 14A customer engagements generically ('a couple of customers, we are already engaging about the PDK 0.5'), and the Q1 2026 call noted 'committed demand that will begin to convert to revenue in 2027.' The social topic analysis explicitly flags this as a [SILENCE] item: 'Management has made zero reference to any Apple partnership in any of the three quarters of transcripts provided.' If the Apple deal is real and converts to foundry revenue in 2027, it is transformative — Apple's A-series chip volumes would be the largest external foundry win in Intel's history. If it is a 'Trump pump' (as retail bears suggest), the stock at $140 is pricing in a catalyst that has no primary-source confirmation. This is the single largest risk to the current consensus price target of $94.14, which itself is well below the current stock price — meaning the street's own price target is already 33% below where the stock is trading.</w:t>
      </w:r>
    </w:p>
    <w:p>
      <w:r>
        <w:t>On the margin trajectory, the GAAP-vs-non-GAAP reconciliation for gross margin is critical. Q1 2026 GAAP gross margin from the quarterly historical table was 39.4% — actually close to the non-GAAP 41% management cited, suggesting period charges were relatively modest in Q1 2026. But the FY2025 GAAP gross margin of 34.8% vs non-GAAP of 36.7% reflects the full-year impact of Q2 2025's 27.5% GAAP gross margin (the worst quarter in the dataset), which included significant impairment and restructuring charges. The restructuring signal is material: three Item 2.05 8-Ks in 24 months, including a $1.9B charge in July 2025 and a $3.0B charge in October 2024. The $3.0B charge was explicitly described as 'reducing the Company's overall operating expenses' — and the Q4 2025 call confirmed non-GAAP OpEx of $16.5B was 'down 15% versus 2024.' This is a genuine margin tailwind that the street is likely already modeling, but the question is whether the 2026 OpEx trajectory continues to decline or stabilizes. On the Q1 2026 call, the 14A investment step-up was cited as a deliberate OpEx increase within Intel Foundry — suggesting total company OpEx may not decline further in 2026 even as the product segments benefit from prior restructuring.</w:t>
      </w:r>
    </w:p>
    <w:p>
      <w:pPr>
        <w:pStyle w:val="ListBullet"/>
      </w:pPr>
      <w:r>
        <w:rPr>
          <w:i/>
        </w:rPr>
        <w:t>→ Research confirms: Intel's October 28, 2024 8-K Item 2.05 filing confirms a $3.0B total restructuring charge, with $2.8B recognized in Q3 2024. The claim is accurate regarding the October 2024 amount and filing. (sec.gov)</w:t>
      </w:r>
    </w:p>
    <w:p>
      <w:r>
        <w:t>The insider activity provides a mixed signal. CFO Zinsner bought $250K of stock at $42.50 in January 2026 — a meaningful open-market purchase that signals conviction at that price level. However, EVP and Chief Legal Officer Miller sold $4.99M (36.4% of her stake) at an average of $82.77 between February and May 2026, and EVP Chandrasekaran (GM of Foundry) sold $2.49M at $118.28 in late May 2026. The Foundry GM selling 9.3% of his stake at $118 — after the stock had already run significantly from the CFO's $42.50 purchase — is a notable data point. It does not constitute a bearish signal on its own, but the pattern of the CFO buying at $42 and the Foundry GM selling at $118 (a 178% gain in ~4 months) suggests insiders view the current price as reflecting significant optimism. The institutional crowding score of 0/100 (NORMAL) with only 14/47 tracked hedge funds holding the name means there is no crowding risk, but also limited smart-money conviction at current levels. Citadel added $1.46B (+105%) and Millennium added $323M (+241%) in Q4 2025 — but those positions were built at much lower prices than the current $140+ level.</w:t>
      </w:r>
    </w:p>
    <w:p>
      <w:pPr>
        <w:pStyle w:val="ListBullet"/>
      </w:pPr>
      <w:r>
        <w:rPr>
          <w:i/>
        </w:rPr>
        <w:t>→ Research confirms: Form 4 filing confirms CFO Zinsner purchased 5,882 shares at $42.50 on January 26, 2026, totaling $249,985 (approximately $250K). Transaction was an open-market purchase signaling conviction. (investing.com)</w:t>
      </w:r>
    </w:p>
    <w:p>
      <w:pPr>
        <w:pStyle w:val="ListBullet"/>
      </w:pPr>
      <w:r>
        <w:rPr>
          <w:i/>
        </w:rPr>
        <w:t>→ Research [CONTRADICTS]: The claim names "Miller" as the seller, but SEC Form 4 filings identify the EVP and Chief Legal Officer as April Miller Boise. More critically, the sale details are materially incorrect: Boise sold 40,256 shares on May 1, 2026 at $99.526/share (not $82.77), plus a separate 20,000-share sale on February 2, 2026 at $49.05/share. Total proceeds and stake percentage do not match the $4.99M figure cite (stocktitan.net)</w:t>
      </w:r>
    </w:p>
    <w:p>
      <w:r>
        <w:t>Synthesizing the evidence: the bull case rests on (1) six-quarter beat-and-raise momentum, (2) genuine AI-driven CPU demand with DCAI growing 22% YoY in Q1 2026, (3) 18A yield improvements enabling the fastest new product ramp in five years, and (4) an unconfirmed Apple foundry deal. The bear case rests on (1) Intel Foundry losses structurally pinned at ~$2.4B/quarter by deliberate 14A investment, (2) H2 2026 supply ramp explicitly walked back to 'more measured pace,' (3) GAAP EPS remaining deeply negative while consensus anchors on non-GAAP, and (4) the stock trading 49% above the street's own mean price target of $94.14 on an unconfirmed catalyst. Our FY2026 revenue estimate of $57.2B is $1.5B below consensus; our non-GAAP EPS estimate of $0.85 is $0.24 below consensus $1.09, reflecting the more measured H2 ramp and persistent foundry losses. The GAAP EPS will remain negative in FY2026 given the foundry loss structure.</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$0.21</w:t>
            </w:r>
          </w:p>
        </w:tc>
        <w:tc>
          <w:tcPr>
            <w:tcW w:type="dxa" w:w="3264"/>
            <w:tcBorders>
              <w:top w:val="single" w:sz="4" w:color="BDC3C7"/>
              <w:bottom w:val="single" w:sz="4" w:color="BDC3C7"/>
              <w:left w:val="single" w:sz="4" w:color="BDC3C7"/>
              <w:right w:val="single" w:sz="4" w:color="BDC3C7"/>
            </w:tcBorders>
          </w:tcPr>
          <w:p>
            <w:r>
              <w:t>$14,404M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$0.27</w:t>
            </w:r>
          </w:p>
        </w:tc>
        <w:tc>
          <w:tcPr>
            <w:tcW w:type="dxa" w:w="3264"/>
            <w:tcBorders>
              <w:top w:val="single" w:sz="4" w:color="BDC3C7"/>
              <w:bottom w:val="single" w:sz="4" w:color="BDC3C7"/>
              <w:left w:val="single" w:sz="4" w:color="BDC3C7"/>
              <w:right w:val="single" w:sz="4" w:color="BDC3C7"/>
            </w:tcBorders>
          </w:tcPr>
          <w:p>
            <w:r>
              <w:t>$15,058M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$1.09</w:t>
            </w:r>
          </w:p>
        </w:tc>
        <w:tc>
          <w:tcPr>
            <w:tcW w:type="dxa" w:w="3264"/>
            <w:tcBorders>
              <w:top w:val="single" w:sz="4" w:color="BDC3C7"/>
              <w:bottom w:val="single" w:sz="4" w:color="BDC3C7"/>
              <w:left w:val="single" w:sz="4" w:color="BDC3C7"/>
              <w:right w:val="single" w:sz="4" w:color="BDC3C7"/>
            </w:tcBorders>
          </w:tcPr>
          <w:p>
            <w:r>
              <w:t>$58,714M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$1.55</w:t>
            </w:r>
          </w:p>
        </w:tc>
        <w:tc>
          <w:tcPr>
            <w:tcW w:type="dxa" w:w="3264"/>
            <w:tcBorders>
              <w:top w:val="single" w:sz="4" w:color="BDC3C7"/>
              <w:bottom w:val="single" w:sz="4" w:color="BDC3C7"/>
              <w:left w:val="single" w:sz="4" w:color="BDC3C7"/>
              <w:right w:val="single" w:sz="4" w:color="BDC3C7"/>
            </w:tcBorders>
          </w:tcPr>
          <w:p>
            <w:r>
              <w:t>$65,341M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$58.7B</w:t>
            </w:r>
          </w:p>
        </w:tc>
        <w:tc>
          <w:tcPr>
            <w:tcW w:type="dxa" w:w="1632"/>
            <w:tcBorders>
              <w:top w:val="single" w:sz="4" w:color="BDC3C7"/>
              <w:bottom w:val="single" w:sz="4" w:color="BDC3C7"/>
              <w:left w:val="single" w:sz="4" w:color="BDC3C7"/>
              <w:right w:val="single" w:sz="4" w:color="BDC3C7"/>
            </w:tcBorders>
          </w:tcPr>
          <w:p>
            <w:r>
              <w:t>$57.2B</w:t>
            </w:r>
          </w:p>
        </w:tc>
        <w:tc>
          <w:tcPr>
            <w:tcW w:type="dxa" w:w="1632"/>
            <w:tcBorders>
              <w:top w:val="single" w:sz="4" w:color="BDC3C7"/>
              <w:bottom w:val="single" w:sz="4" w:color="BDC3C7"/>
              <w:left w:val="single" w:sz="4" w:color="BDC3C7"/>
              <w:right w:val="single" w:sz="4" w:color="BDC3C7"/>
            </w:tcBorders>
          </w:tcPr>
          <w:p>
            <w:r>
              <w:t>-0.18</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$1.09</w:t>
            </w:r>
          </w:p>
        </w:tc>
        <w:tc>
          <w:tcPr>
            <w:tcW w:type="dxa" w:w="1632"/>
            <w:tcBorders>
              <w:top w:val="single" w:sz="4" w:color="BDC3C7"/>
              <w:bottom w:val="single" w:sz="4" w:color="BDC3C7"/>
              <w:left w:val="single" w:sz="4" w:color="BDC3C7"/>
              <w:right w:val="single" w:sz="4" w:color="BDC3C7"/>
            </w:tcBorders>
          </w:tcPr>
          <w:p>
            <w:r>
              <w:t>+85.0%</w:t>
            </w:r>
          </w:p>
        </w:tc>
        <w:tc>
          <w:tcPr>
            <w:tcW w:type="dxa" w:w="1632"/>
            <w:tcBorders>
              <w:top w:val="single" w:sz="4" w:color="BDC3C7"/>
              <w:bottom w:val="single" w:sz="4" w:color="BDC3C7"/>
              <w:left w:val="single" w:sz="4" w:color="BDC3C7"/>
              <w:right w:val="single" w:sz="4" w:color="BDC3C7"/>
            </w:tcBorders>
          </w:tcPr>
          <w:p>
            <w:r>
              <w:t>-0.24</w:t>
            </w:r>
          </w:p>
        </w:tc>
        <w:tc>
          <w:tcPr>
            <w:tcW w:type="dxa" w:w="1632"/>
            <w:tcBorders>
              <w:top w:val="single" w:sz="4" w:color="BDC3C7"/>
              <w:bottom w:val="single" w:sz="4" w:color="BDC3C7"/>
              <w:left w:val="single" w:sz="4" w:color="BDC3C7"/>
              <w:right w:val="single" w:sz="4" w:color="BDC3C7"/>
            </w:tcBorders>
          </w:tcPr>
          <w:p>
            <w:r>
              <w:t>interpretation</w:t>
            </w:r>
          </w:p>
        </w:tc>
      </w:tr>
      <w:tr>
        <w:tc>
          <w:tcPr>
            <w:tcW w:type="dxa" w:w="1632"/>
            <w:tcBorders>
              <w:top w:val="single" w:sz="4" w:color="BDC3C7"/>
              <w:bottom w:val="single" w:sz="4" w:color="BDC3C7"/>
              <w:left w:val="single" w:sz="4" w:color="BDC3C7"/>
              <w:right w:val="single" w:sz="4" w:color="BDC3C7"/>
            </w:tcBorders>
          </w:tcPr>
          <w:p>
            <w:r>
              <w:t>3</w:t>
            </w:r>
          </w:p>
        </w:tc>
        <w:tc>
          <w:tcPr>
            <w:tcW w:type="dxa" w:w="1632"/>
            <w:tcBorders>
              <w:top w:val="single" w:sz="4" w:color="BDC3C7"/>
              <w:bottom w:val="single" w:sz="4" w:color="BDC3C7"/>
              <w:left w:val="single" w:sz="4" w:color="BDC3C7"/>
              <w:right w:val="single" w:sz="4" w:color="BDC3C7"/>
            </w:tcBorders>
          </w:tcPr>
          <w:p>
            <w:r>
              <w:t>Cons PT</w:t>
            </w:r>
          </w:p>
        </w:tc>
        <w:tc>
          <w:tcPr>
            <w:tcW w:type="dxa" w:w="1632"/>
            <w:tcBorders>
              <w:top w:val="single" w:sz="4" w:color="BDC3C7"/>
              <w:bottom w:val="single" w:sz="4" w:color="BDC3C7"/>
              <w:left w:val="single" w:sz="4" w:color="BDC3C7"/>
              <w:right w:val="single" w:sz="4" w:color="BDC3C7"/>
            </w:tcBorders>
          </w:tcPr>
          <w:p>
            <w:r>
              <w:t>$94.14</w:t>
            </w:r>
          </w:p>
        </w:tc>
        <w:tc>
          <w:tcPr>
            <w:tcW w:type="dxa" w:w="1632"/>
            <w:tcBorders>
              <w:top w:val="single" w:sz="4" w:color="BDC3C7"/>
              <w:bottom w:val="single" w:sz="4" w:color="BDC3C7"/>
              <w:left w:val="single" w:sz="4" w:color="BDC3C7"/>
              <w:right w:val="single" w:sz="4" w:color="BDC3C7"/>
            </w:tcBorders>
          </w:tcPr>
          <w:p>
            <w:r>
              <w:t>$75.00</w:t>
            </w:r>
          </w:p>
        </w:tc>
        <w:tc>
          <w:tcPr>
            <w:tcW w:type="dxa" w:w="1632"/>
            <w:tcBorders>
              <w:top w:val="single" w:sz="4" w:color="BDC3C7"/>
              <w:bottom w:val="single" w:sz="4" w:color="BDC3C7"/>
              <w:left w:val="single" w:sz="4" w:color="BDC3C7"/>
              <w:right w:val="single" w:sz="4" w:color="BDC3C7"/>
            </w:tcBorders>
          </w:tcPr>
          <w:p>
            <w:r>
              <w:t>+0.00</w:t>
            </w:r>
          </w:p>
        </w:tc>
        <w:tc>
          <w:tcPr>
            <w:tcW w:type="dxa" w:w="1632"/>
            <w:tcBorders>
              <w:top w:val="single" w:sz="4" w:color="BDC3C7"/>
              <w:bottom w:val="single" w:sz="4" w:color="BDC3C7"/>
              <w:left w:val="single" w:sz="4" w:color="BDC3C7"/>
              <w:right w:val="single" w:sz="4" w:color="BDC3C7"/>
            </w:tcBorders>
          </w:tcPr>
          <w:p>
            <w:r>
              <w:t>cross_corpus</w:t>
            </w:r>
          </w:p>
        </w:tc>
      </w:tr>
    </w:tbl>
    <w:p>
      <w:pPr>
        <w:pStyle w:val="SubHeading"/>
      </w:pPr>
      <w:r>
        <w:t>Claim 1 — consensus_fy_revenue</w:t>
      </w:r>
    </w:p>
    <w:p>
      <w:r>
        <w:t>Consensus $58.7B requires H2 2026 at ~$15.4B/quarter, a 7.7% sequential step-up from the Q2 guide midpoint of $14.3B — but management explicitly walked back the H2 supply ramp on the Q1 2026 call to 'a more measured pace than we anticipated 90 days ago,' inconsistent with the sequential acceleration embedded in consensus. H1 2026 (Q1 actual $13.6B + Q2 guide midpoint $14.3B = $27.9B) leaves $30.8B required in H2 to hit consensus, versus our $29.3B estimate based on ~$14.65B/quarter.</w:t>
      </w:r>
    </w:p>
    <w:p>
      <w:r>
        <w:t>Street anchor: $58.7B (yfinance consensus FY2026) → Our view: $57.2B</w:t>
      </w:r>
    </w:p>
    <w:p>
      <w:pPr>
        <w:pStyle w:val="PullQuote"/>
      </w:pPr>
      <w:r>
        <w:t>“We expect our factory network to continue increasing available supply in the third and fourth quarters, though at a more measured pace than we anticipated 90 days ago, reflecting the macroeconomic and geopolitical environments are dynamic.”  (transcript)</w:t>
      </w:r>
    </w:p>
    <w:p>
      <w:pPr>
        <w:pStyle w:val="PullQuote"/>
      </w:pPr>
      <w:r>
        <w:t>“At the midpoint of $14.3 billion, we forecast a gross margin of 39%, a tax rate of 11%, an EPS of 20 cents, all on a non-GAAP basis.”  (transcript)</w:t>
      </w:r>
    </w:p>
    <w:p>
      <w:pPr>
        <w:pStyle w:val="PullQuote"/>
      </w:pPr>
      <w:r>
        <w:t>“constraints and rising prices around key components like memory, wafers, and substrates”  (transcript)</w:t>
      </w:r>
    </w:p>
    <w:p>
      <w:r>
        <w:t>Why not consensus: Sell-side analysts typically model H2 ramps top-down from annual growth targets and may not have fully reconciled the Q1 2026 call's explicit 'more measured pace' language against the sequential acceleration required to hit $58.7B. The beat-and-raise pattern over six quarters creates anchoring bias toward upside, making analysts reluctant to model a H2 deceleration even when management signals it.</w:t>
      </w:r>
    </w:p>
    <w:p>
      <w:pPr>
        <w:pStyle w:val="KillCriteria"/>
      </w:pPr>
      <w:r>
        <w:t>Falsifier: If Q2 2026 prints above $15B (above the high end of the $14.15-14.86B consensus range) and management raises H2 supply commentary back to the original pace, the H2 ramp concern is invalidated.</w:t>
      </w:r>
    </w:p>
    <w:p>
      <w:pPr>
        <w:pStyle w:val="SubHeading"/>
      </w:pPr>
      <w:r>
        <w:t>Claim 2 — consensus_fy_eps</w:t>
      </w:r>
    </w:p>
    <w:p>
      <w:r>
        <w:t>Consensus non-GAAP EPS of $1.09 requires Intel Foundry losses to narrow materially from the ~$2.4B/quarter run-rate, but management explicitly cited an 'intentional step up in Intel 14A investments' on the Q1 2026 call that offset yield-driven gross margin improvements — meaning foundry losses are structurally pinned by deliberate investment, not declining toward breakeven. A $2.4B/quarter foundry loss on ~4,530M diluted shares = ~$0.53/share annual drag that the non-GAAP bridge must absorb; our $0.85 non-GAAP EPS estimate reflects foundry losses improving only modestly to ~$2.2B/quarter in H2 2026.</w:t>
      </w:r>
    </w:p>
    <w:p>
      <w:r>
        <w:t>Street anchor: $1.09 (yfinance consensus FY2026) → Our view: +85.0%</w:t>
      </w:r>
    </w:p>
    <w:p>
      <w:pPr>
        <w:pStyle w:val="PullQuote"/>
      </w:pPr>
      <w:r>
        <w:t>“Intel foundry operating loss in Q1 was $2.4 billion and improved $72 million quarter over quarter as better yields across Intel 4, 3, and 18A drove higher gross margins. This was mostly offset by increased operating expenses associated with an intentional step up in Intel 14A inv”  (transcript)</w:t>
      </w:r>
    </w:p>
    <w:p>
      <w:pPr>
        <w:pStyle w:val="PullQuote"/>
      </w:pPr>
      <w:r>
        <w:t>“Intel Foundry operating loss in Q4 was $2.5 billion and $188 million worth quarter over quarter driven by the early ramp of Intel 18A.”  (transcript)</w:t>
      </w:r>
    </w:p>
    <w:p>
      <w:pPr>
        <w:pStyle w:val="PullQuote"/>
      </w:pPr>
      <w:r>
        <w:t>“Full-year non-GAAP EPS was 42 cents, up 55 cents year over year on lower period charges and improved operating leverage.”  (transcript)</w:t>
      </w:r>
    </w:p>
    <w:p>
      <w:r>
        <w:t>Why not consensus: Sell-side analysts modeling non-GAAP EPS may be excluding Intel Foundry period charges and treating the foundry loss as a temporary ramp cost that normalizes quickly, rather than recognizing that management is deliberately increasing 14A OpEx to court external customers — a multi-year investment cycle, not a one-quarter ramp cost. The 160% YoY EPS growth consensus also benefits from the extremely depressed FY2025 non-GAAP base of $0.42, making the percentage growth look achievable even if the absolute improvement is modest.</w:t>
      </w:r>
    </w:p>
    <w:p>
      <w:pPr>
        <w:pStyle w:val="KillCriteria"/>
      </w:pPr>
      <w:r>
        <w:t>Falsifier: If Intel Foundry operating loss narrows below $2.0B/quarter in Q3 or Q4 2026 on improved 18A yields and 14A customer commitments converting to revenue, the foundry drag assumption is too pessimistic.</w:t>
      </w:r>
    </w:p>
    <w:p>
      <w:pPr>
        <w:pStyle w:val="SubHeading"/>
      </w:pPr>
      <w:r>
        <w:t>Claim 3 — consensus_price_target</w:t>
      </w:r>
    </w:p>
    <w:p>
      <w:r>
        <w:t>The stock is trading above $140 (per StockTwits messages and the June 22 overnight jump news) while the street's own mean price target is $94.14 — a 49% premium to consensus PT — driven by an unconfirmed Apple foundry deal that has zero management acknowledgment across three quarters of earnings transcripts; if the Apple deal fails to convert to a formal announcement, the stock reverts toward the $94 consensus PT, representing ~33% downside from current levels. The deal's only sourcing is a Trump statement and media reports, not Intel management.</w:t>
      </w:r>
    </w:p>
    <w:p>
      <w:r>
        <w:t>Street anchor: $94.14 (yfinance consensus mean price target) → Our view: $75.00</w:t>
      </w:r>
    </w:p>
    <w:p>
      <w:pPr>
        <w:pStyle w:val="PullQuote"/>
      </w:pPr>
      <w:r>
        <w:t>“After Nvidia And Tesla, Trump Confirms Apple Has Agreed To Build Chips With Intel Amid US Manufacturing Push: 'When Was The Last Time...'”  (press_release)</w:t>
      </w:r>
    </w:p>
    <w:p>
      <w:pPr>
        <w:pStyle w:val="PullQuote"/>
      </w:pPr>
      <w:r>
        <w:t>“Intel's foundry business is gaining momentum with a reported Apple deal and collaboration with Nvidia, leading to a significant stock surge.”  (press_release)</w:t>
      </w:r>
    </w:p>
    <w:p>
      <w:pPr>
        <w:pStyle w:val="PullQuote"/>
      </w:pPr>
      <w:r>
        <w:t>“why apple nd intel haven't confirmed the deal news yet, cause its fake trump pump Just wait for market to open then see where price goes”  (transcript)</w:t>
      </w:r>
    </w:p>
    <w:p>
      <w:r>
        <w:t>Why not consensus: Sell-side price targets of $94.14 were set before the Apple deal speculation drove the stock above $140; analysts have not yet updated targets to reflect the unconfirmed catalyst, creating a situation where the stock is trading 49% above the consensus PT on a speculative catalyst. The social topic analysis explicitly flags this as a management-silence item with zero primary-source confirmation, which most sell-side analysts would not systematically track across three quarters of transcripts.</w:t>
      </w:r>
    </w:p>
    <w:p>
      <w:pPr>
        <w:pStyle w:val="KillCriteria"/>
      </w:pPr>
      <w:r>
        <w:t>Falsifier: If Intel and Apple formally announce a foundry supply agreement with disclosed volume commitments and a revenue start date, the Apple deal becomes a real FY2027+ revenue driver and the current stock price is partially justified.</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FY2026 Revenue Growth</w:t>
            </w:r>
          </w:p>
        </w:tc>
        <w:tc>
          <w:tcPr>
            <w:tcW w:type="dxa" w:w="2448"/>
            <w:tcBorders>
              <w:top w:val="single" w:sz="4" w:color="BDC3C7"/>
              <w:bottom w:val="single" w:sz="4" w:color="BDC3C7"/>
              <w:left w:val="single" w:sz="4" w:color="BDC3C7"/>
              <w:right w:val="single" w:sz="4" w:color="BDC3C7"/>
            </w:tcBorders>
          </w:tcPr>
          <w:p>
            <w:r>
              <w:rPr>
                <w:b/>
              </w:rPr>
              <w:t>+22.00%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CCG revenue growth</w:t>
            </w:r>
          </w:p>
        </w:tc>
        <w:tc>
          <w:tcPr>
            <w:tcW w:type="dxa" w:w="2448"/>
            <w:tcBorders>
              <w:top w:val="single" w:sz="4" w:color="BDC3C7"/>
              <w:bottom w:val="single" w:sz="4" w:color="BDC3C7"/>
              <w:left w:val="single" w:sz="4" w:color="BDC3C7"/>
              <w:right w:val="single" w:sz="4" w:color="BDC3C7"/>
            </w:tcBorders>
          </w:tcPr>
          <w:p>
            <w:r>
              <w:t>+4.00%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CCG (client CPU) revenue was $7.7B in Q1 2026 (down 6% sequentially from Q4 2025's $8.2B, but better than expectations per the Q1 2026 call). The Q1 2026 call noted AIPC revenue grew 8% sequentially and represents &gt;60% o</w:t>
            </w:r>
          </w:p>
        </w:tc>
      </w:tr>
      <w:tr>
        <w:tc>
          <w:tcPr>
            <w:tcW w:type="dxa" w:w="2448"/>
            <w:tcBorders>
              <w:top w:val="single" w:sz="4" w:color="BDC3C7"/>
              <w:bottom w:val="single" w:sz="4" w:color="BDC3C7"/>
              <w:left w:val="single" w:sz="4" w:color="BDC3C7"/>
              <w:right w:val="single" w:sz="4" w:color="BDC3C7"/>
            </w:tcBorders>
          </w:tcPr>
          <w:p>
            <w:r>
              <w:t xml:space="preserve">    DCAI revenue growth</w:t>
            </w:r>
          </w:p>
        </w:tc>
        <w:tc>
          <w:tcPr>
            <w:tcW w:type="dxa" w:w="2448"/>
            <w:tcBorders>
              <w:top w:val="single" w:sz="4" w:color="BDC3C7"/>
              <w:bottom w:val="single" w:sz="4" w:color="BDC3C7"/>
              <w:left w:val="single" w:sz="4" w:color="BDC3C7"/>
              <w:right w:val="single" w:sz="4" w:color="BDC3C7"/>
            </w:tcBorders>
          </w:tcPr>
          <w:p>
            <w:r>
              <w:t>+10.80%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 xml:space="preserve">DCAI revenue was $5.1B in Q1 2026 (up 7% sequentially, +22% YoY) and $4.7B in Q4 2025 (up 15% sequentially, 'fastest sequential growth this decade'). The Q1 2026 call stated 'we signaled a strong year of growth for DCAI </w:t>
            </w:r>
          </w:p>
        </w:tc>
      </w:tr>
      <w:tr>
        <w:tc>
          <w:tcPr>
            <w:tcW w:type="dxa" w:w="2448"/>
            <w:tcBorders>
              <w:top w:val="single" w:sz="4" w:color="BDC3C7"/>
              <w:bottom w:val="single" w:sz="4" w:color="BDC3C7"/>
              <w:left w:val="single" w:sz="4" w:color="BDC3C7"/>
              <w:right w:val="single" w:sz="4" w:color="BDC3C7"/>
            </w:tcBorders>
          </w:tcPr>
          <w:p>
            <w:r>
              <w:t xml:space="preserve">    Intel Foundry revenue growth</w:t>
            </w:r>
          </w:p>
        </w:tc>
        <w:tc>
          <w:tcPr>
            <w:tcW w:type="dxa" w:w="2448"/>
            <w:tcBorders>
              <w:top w:val="single" w:sz="4" w:color="BDC3C7"/>
              <w:bottom w:val="single" w:sz="4" w:color="BDC3C7"/>
              <w:left w:val="single" w:sz="4" w:color="BDC3C7"/>
              <w:right w:val="single" w:sz="4" w:color="BDC3C7"/>
            </w:tcBorders>
          </w:tcPr>
          <w:p>
            <w:r>
              <w:t>+7.20%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Intel Foundry revenue was $5.4B in Q1 2026 (up 20% sequentially from Q4 2025's $4.5B), driven by increased EUV wafer mix and 18A ramp. External foundry revenue was $174M in Q1 2026 (down from $222M in Q4 2025). The Q1 20</w:t>
            </w:r>
          </w:p>
        </w:tc>
      </w:tr>
    </w:tbl>
    <w:p>
      <w:pPr>
        <w:pStyle w:val="SubHeading"/>
      </w:pPr>
      <w:r>
        <w:t>Bear revisions:</w:t>
      </w:r>
    </w:p>
    <w:p>
      <w:pPr>
        <w:pStyle w:val="ListBullet"/>
      </w:pPr>
      <w:r>
        <w:t>FY2026 Revenue Growth.DCAI revenue growth: 18.0 → 10.0 — If supply constraints persist more severely than expected in H2 2026 (component shortages in memory and substrates cited on Q1 2026 call), DCAI growth could slow from our 18% base case to 10%, as the Q3 2025 call noted 'shortage is pretty much across our business' and supply constraints limited DCAI to only 5% sequential growth in Q3 2025 despite strong demand. A 10% DCAI growth scenario implies ~$18.7B vs our $20B base, reducing FY2026 revenue by ~$1.3B.</w:t>
      </w:r>
    </w:p>
    <w:p>
      <w:pPr>
        <w:pStyle w:val="ListBullet"/>
      </w:pPr>
      <w:r>
        <w:t>FY2026 Revenue Growth.Intel Foundry revenue growth: 12.0 → 5.0 — If the Apple foundry deal fails to materialize as a formal agreement, external foundry revenue remains below $200M/quarter through 2026 (Q1 2026 external revenue was $174M, down from $222M in Q4 2025), and Intel Foundry revenue growth is limited to internal wafer volume increases. The Q1 2026 call explicitly stated committed demand 'will begin to convert to revenue in 2027,' meaning 2026 foundry revenue is almost entirely internal — a 5% growth scenario vs our 12% base case reduces FY2026 revenue by ~$1.3B.</w:t>
      </w:r>
    </w:p>
    <w:p>
      <w:pPr>
        <w:pStyle w:val="SubHeading"/>
      </w:pPr>
      <w:r>
        <w:t>Comp decomposition check:</w:t>
      </w:r>
    </w:p>
    <w:p>
      <w:pPr>
        <w:pStyle w:val="ListBullet"/>
      </w:pPr>
      <w:r>
        <w:t>Schema mismatch: peer comps fit 'semiconductors' but the brief picked 'general'. The mechanical model will use generic defaults; final EPS may be unreliable.</w:t>
      </w:r>
    </w:p>
    <w:p>
      <w:pPr>
        <w:pStyle w:val="ListBullet"/>
      </w:pPr>
      <w:r>
        <w:t>Thin brief drivers (1 drivers / 3 components) on schema 'general'. The mechanical model and edge variant back-solve may be unreliable.</w:t>
      </w:r>
    </w:p>
    <w:p>
      <w:pPr>
        <w:pStyle w:val="ListBullet"/>
      </w:pPr>
      <w:r>
        <w:rPr>
          <w:i/>
        </w:rPr>
        <w:t>→ Research: Search confirms Intel achieved 22% DCAI growth in Q1 2026, exceeding the 18% assumption. However, Gaudi 3 holds only ~3% discrete AI accelerator market share versus Nvidia's 80%+, with revenue not separately disclosed. Growth driven primarily by Xeon CPUs and ASIC, not Gaudi design wins. Gaudi 3 is gaining traction in inference workloads as a cost-efficient alternative, but no major hyperscaler tr (tech-insider.org)</w:t>
      </w:r>
    </w:p>
    <w:p>
      <w:pPr>
        <w:pStyle w:val="SectionHeading"/>
      </w:pPr>
      <w:r>
        <w:t>3. Consensus Gap &amp; Valuation</w:t>
      </w:r>
    </w:p>
    <w:p>
      <w:r>
        <w:t>Our EPS: $0.85  =  baseline $1.09  +  Σ claim impacts $-0.24 (22.0% below consensus $1.09)</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$1.09</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$1.09 → +85.0% (Δ -24.0%)</w:t>
            </w:r>
          </w:p>
        </w:tc>
        <w:tc>
          <w:tcPr>
            <w:tcW w:type="dxa" w:w="2448"/>
            <w:tcBorders>
              <w:top w:val="single" w:sz="4" w:color="BDC3C7"/>
              <w:bottom w:val="single" w:sz="4" w:color="BDC3C7"/>
              <w:left w:val="single" w:sz="4" w:color="BDC3C7"/>
              <w:right w:val="single" w:sz="4" w:color="BDC3C7"/>
            </w:tcBorders>
          </w:tcPr>
          <w:p>
            <w:r>
              <w:t>Direct EPS delta: $-0.24/share</w:t>
            </w:r>
          </w:p>
        </w:tc>
        <w:tc>
          <w:tcPr>
            <w:tcW w:type="dxa" w:w="2448"/>
            <w:tcBorders>
              <w:top w:val="single" w:sz="4" w:color="BDC3C7"/>
              <w:bottom w:val="single" w:sz="4" w:color="BDC3C7"/>
              <w:left w:val="single" w:sz="4" w:color="BDC3C7"/>
              <w:right w:val="single" w:sz="4" w:color="BDC3C7"/>
            </w:tcBorders>
          </w:tcPr>
          <w:p>
            <w:r>
              <w:t>-0.24</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$58.7B → $57.2B (Δ $-1.5B)</w:t>
            </w:r>
          </w:p>
        </w:tc>
        <w:tc>
          <w:tcPr>
            <w:tcW w:type="dxa" w:w="2448"/>
            <w:tcBorders>
              <w:top w:val="single" w:sz="4" w:color="BDC3C7"/>
              <w:bottom w:val="single" w:sz="4" w:color="BDC3C7"/>
              <w:left w:val="single" w:sz="4" w:color="BDC3C7"/>
              <w:right w:val="single" w:sz="4" w:color="BDC3C7"/>
            </w:tcBorders>
          </w:tcPr>
          <w:p>
            <w:r>
              <w:t xml:space="preserve">(supporting view, not summed: same disagreement as 'consensus_fy_eps' through different metric lens) Revenue Δ $-1,514M </w:t>
            </w:r>
          </w:p>
        </w:tc>
        <w:tc>
          <w:tcPr>
            <w:tcW w:type="dxa" w:w="2448"/>
            <w:tcBorders>
              <w:top w:val="single" w:sz="4" w:color="BDC3C7"/>
              <w:bottom w:val="single" w:sz="4" w:color="BDC3C7"/>
              <w:left w:val="single" w:sz="4" w:color="BDC3C7"/>
              <w:right w:val="single" w:sz="4" w:color="BDC3C7"/>
            </w:tcBorders>
          </w:tcPr>
          <w:p>
            <w:r>
              <w:t>+0.00  ⚠ Claude said -0.18</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PT</w:t>
              <w:br/>
              <w:t>$94.14 → $75.00 (Δ $-19.14)</w:t>
            </w:r>
          </w:p>
        </w:tc>
        <w:tc>
          <w:tcPr>
            <w:tcW w:type="dxa" w:w="2448"/>
            <w:tcBorders>
              <w:top w:val="single" w:sz="4" w:color="BDC3C7"/>
              <w:bottom w:val="single" w:sz="4" w:color="BDC3C7"/>
              <w:left w:val="single" w:sz="4" w:color="BDC3C7"/>
              <w:right w:val="single" w:sz="4" w:color="BDC3C7"/>
            </w:tcBorders>
          </w:tcPr>
          <w:p>
            <w:r>
              <w:t>Revenue Δ $-0M × 12% incremental margin × 79% after-tax</w:t>
            </w:r>
          </w:p>
        </w:tc>
        <w:tc>
          <w:tcPr>
            <w:tcW w:type="dxa" w:w="2448"/>
            <w:tcBorders>
              <w:top w:val="single" w:sz="4" w:color="BDC3C7"/>
              <w:bottom w:val="single" w:sz="4" w:color="BDC3C7"/>
              <w:left w:val="single" w:sz="4" w:color="BDC3C7"/>
              <w:right w:val="single" w:sz="4" w:color="BDC3C7"/>
            </w:tcBorders>
          </w:tcPr>
          <w:p>
            <w:r>
              <w:t>-0.00</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-0.24</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$0.85</w:t>
            </w:r>
          </w:p>
        </w:tc>
      </w:tr>
    </w:tbl>
    <w:p>
      <w:pPr>
        <w:pStyle w:val="PullQuote"/>
      </w:pPr>
      <w:r>
        <w:t xml:space="preserve">  ⚠ Mechanically-overlapping claim deduplicated: 'consensus_fy_revenue' overlaps with selected 'consensus_fy_eps'; only the more comprehensive claim is summed into our_eps.</w:t>
      </w:r>
    </w:p>
    <w:p>
      <w:r>
        <w:t>Our estimate is $0.24 (22.0%) below consensus $1.09. No single driver within plausible bounds can close the gap to consensus when other drivers are held at our values; the EPS variant is diffuse (top magnitude: FY2026 Revenue Growth.CCG revenue growth). Variant appears NOT fully priced in based on available market data. Next catalyst: Next quarterly earnings report (2026-07-23 (31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FY2026 Revenue Growth.CCG revenue growth</w:t>
            </w:r>
          </w:p>
        </w:tc>
        <w:tc>
          <w:tcPr>
            <w:tcW w:type="dxa" w:w="1958"/>
            <w:tcBorders>
              <w:top w:val="single" w:sz="4" w:color="BDC3C7"/>
              <w:bottom w:val="single" w:sz="4" w:color="BDC3C7"/>
              <w:left w:val="single" w:sz="4" w:color="BDC3C7"/>
              <w:right w:val="single" w:sz="4" w:color="BDC3C7"/>
            </w:tcBorders>
          </w:tcPr>
          <w:p>
            <w:r>
              <w:t>+4.00</w:t>
            </w:r>
          </w:p>
        </w:tc>
        <w:tc>
          <w:tcPr>
            <w:tcW w:type="dxa" w:w="1958"/>
            <w:tcBorders>
              <w:top w:val="single" w:sz="4" w:color="BDC3C7"/>
              <w:bottom w:val="single" w:sz="4" w:color="BDC3C7"/>
              <w:left w:val="single" w:sz="4" w:color="BDC3C7"/>
              <w:right w:val="single" w:sz="4" w:color="BDC3C7"/>
            </w:tcBorders>
          </w:tcPr>
          <w:p>
            <w:r>
              <w:t>+4.00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0.40</w:t>
            </w:r>
          </w:p>
        </w:tc>
      </w:tr>
      <w:tr>
        <w:tc>
          <w:tcPr>
            <w:tcW w:type="dxa" w:w="1958"/>
            <w:tcBorders>
              <w:top w:val="single" w:sz="4" w:color="BDC3C7"/>
              <w:bottom w:val="single" w:sz="4" w:color="BDC3C7"/>
              <w:left w:val="single" w:sz="4" w:color="BDC3C7"/>
              <w:right w:val="single" w:sz="4" w:color="BDC3C7"/>
            </w:tcBorders>
          </w:tcPr>
          <w:p>
            <w:r>
              <w:t>FY2026 Revenue Growth.DCAI revenue growth</w:t>
            </w:r>
          </w:p>
        </w:tc>
        <w:tc>
          <w:tcPr>
            <w:tcW w:type="dxa" w:w="1958"/>
            <w:tcBorders>
              <w:top w:val="single" w:sz="4" w:color="BDC3C7"/>
              <w:bottom w:val="single" w:sz="4" w:color="BDC3C7"/>
              <w:left w:val="single" w:sz="4" w:color="BDC3C7"/>
              <w:right w:val="single" w:sz="4" w:color="BDC3C7"/>
            </w:tcBorders>
          </w:tcPr>
          <w:p>
            <w:r>
              <w:t>+10.80</w:t>
            </w:r>
          </w:p>
        </w:tc>
        <w:tc>
          <w:tcPr>
            <w:tcW w:type="dxa" w:w="1958"/>
            <w:tcBorders>
              <w:top w:val="single" w:sz="4" w:color="BDC3C7"/>
              <w:bottom w:val="single" w:sz="4" w:color="BDC3C7"/>
              <w:left w:val="single" w:sz="4" w:color="BDC3C7"/>
              <w:right w:val="single" w:sz="4" w:color="BDC3C7"/>
            </w:tcBorders>
          </w:tcPr>
          <w:p>
            <w:r>
              <w:t>+10.80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FY2026 Revenue Growth.Intel Foundry revenue growth</w:t>
            </w:r>
          </w:p>
        </w:tc>
        <w:tc>
          <w:tcPr>
            <w:tcW w:type="dxa" w:w="1958"/>
            <w:tcBorders>
              <w:top w:val="single" w:sz="4" w:color="BDC3C7"/>
              <w:bottom w:val="single" w:sz="4" w:color="BDC3C7"/>
              <w:left w:val="single" w:sz="4" w:color="BDC3C7"/>
              <w:right w:val="single" w:sz="4" w:color="BDC3C7"/>
            </w:tcBorders>
          </w:tcPr>
          <w:p>
            <w:r>
              <w:t>+7.20</w:t>
            </w:r>
          </w:p>
        </w:tc>
        <w:tc>
          <w:tcPr>
            <w:tcW w:type="dxa" w:w="1958"/>
            <w:tcBorders>
              <w:top w:val="single" w:sz="4" w:color="BDC3C7"/>
              <w:bottom w:val="single" w:sz="4" w:color="BDC3C7"/>
              <w:left w:val="single" w:sz="4" w:color="BDC3C7"/>
              <w:right w:val="single" w:sz="4" w:color="BDC3C7"/>
            </w:tcBorders>
          </w:tcPr>
          <w:p>
            <w:r>
              <w:t>+7.20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0.35</w:t>
            </w:r>
          </w:p>
        </w:tc>
      </w:tr>
    </w:tbl>
    <w:p>
      <w:r>
        <w:t>Priced in: not fully — Variant (-22.0%) exceeds implied move (6.2%)</w:t>
      </w:r>
    </w:p>
    <w:p>
      <w:r>
        <w:t>Edge verdict: ACTIONABLE_EDGE (score 0.280).</w:t>
      </w:r>
    </w:p>
    <w:p>
      <w:pPr>
        <w:pStyle w:val="SectionHeading"/>
      </w:pPr>
      <w:r>
        <w:t>4. Catalysts</w:t>
      </w:r>
    </w:p>
    <w:p>
      <w:pPr>
        <w:pStyle w:val="ListBullet"/>
      </w:pPr>
      <w:r>
        <w:t>Next quarterly earnings report (2026-07-23 (31 days)) — resolves revenue + margins + guidance; confirms or challenges</w:t>
      </w:r>
    </w:p>
    <w:p>
      <w:pPr>
        <w:pStyle w:val="ListBullet"/>
      </w:pPr>
      <w:r>
        <w:t>Resolution: Six consecutive quarters of beating guidance signals conservative management and (Multi-year thesis -- patience required) — resolves FY2026 Revenue Growth; confirms or challenges</w:t>
      </w:r>
    </w:p>
    <w:p>
      <w:pPr>
        <w:pStyle w:val="ListBullet"/>
      </w:pPr>
      <w:r>
        <w:t>Resolution: Intel Foundry losses are declining as 18A yields improve, creating a path to bre (Multi-year thesis -- patience required) — resolves Gross Margin Delta; confirms or challenges</w:t>
      </w:r>
    </w:p>
    <w:p>
      <w:pPr>
        <w:pStyle w:val="ListBullet"/>
      </w:pPr>
      <w:r>
        <w:t>Resolution: The Apple foundry deal is a transformative catalyst that justifies the stock tra (Resolves at earnings (2026-07-23)) — resolves Intel Foundry revenue growth; confirms or challenges</w:t>
      </w:r>
    </w:p>
    <w:p>
      <w:pPr>
        <w:pStyle w:val="ListBullet"/>
      </w:pPr>
      <w:r>
        <w:t>Formal Apple foundry deal terms, volume commitments, and revenue start date — the single most import (Unknown timing) — resolves multiple; resolves uncertainty</w:t>
      </w:r>
    </w:p>
    <w:p>
      <w:pPr>
        <w:pStyle w:val="ListBullet"/>
      </w:pPr>
      <w:r>
        <w:t>Specific FY2026 full-year revenue and EPS guidance from management — no formal annual guidance was p (Unknown timing) — resolves multiple; resolves uncertainty</w:t>
      </w:r>
    </w:p>
    <w:p>
      <w:pPr>
        <w:pStyle w:val="SectionHeading"/>
      </w:pPr>
      <w:r>
        <w:t>5. Risks, Blind Spots &amp; Kill Criteria</w:t>
      </w:r>
    </w:p>
    <w:p>
      <w:pPr>
        <w:pStyle w:val="SubHeading"/>
      </w:pPr>
      <w:r>
        <w:t>Top risks:</w:t>
      </w:r>
    </w:p>
    <w:p>
      <w:pPr>
        <w:pStyle w:val="ListBullet"/>
      </w:pPr>
      <w:r>
        <w:t>Intel Foundry losses are declining as 18A yields improve, creating a path to breakeven that supports EPS expansion. — counter: Q1 2026 foundry operating loss was $2.4B, improved only $72M QoQ, and the improvement was 'mostly offset by increased operating expenses associated with an intentional step up in Intel 14A investments.' The Q4 2025 foundry loss was $2.5B. The three-quarter run-rate of $2.3-2.5B/quarter shows no meaningful improvement trajectory, and management is deliberately holding losses elevated to invest in 14A. [serious]</w:t>
      </w:r>
    </w:p>
    <w:p>
      <w:pPr>
        <w:pStyle w:val="ListBullet"/>
      </w:pPr>
      <w:r>
        <w:t>The Apple foundry deal is a transformative catalyst that justifies the stock trading above $140 and well above the $94 consensus price target. — counter: Zero management acknowledgment of Apple as a foundry customer across three quarters of earnings transcripts (Q3 2025, Q4 2025, Q1 2026). The Q1 2026 call discussed 14A customer engagements generically without naming Apple. The only sourcing is a Trump statement and media reports. The social topic analysis flags this as a [SILENCE] item with retail actively debating whether it is a 'fake trump pump.' [serious]</w:t>
      </w:r>
    </w:p>
    <w:p>
      <w:pPr>
        <w:pStyle w:val="ListBullet2"/>
      </w:pPr>
      <w:r>
        <w:rPr>
          <w:i/>
        </w:rPr>
        <w:t>→ Research [CONTRADICTS]: Trump announced the Apple-Intel deal on June 18, 2026, but neither company has issued formal confirmation. Search results confirm zero mention of Apple in Intel's Q3 2025, Q4 2025, and Q1 2026 earnings releases—corroborating the brief's claim that management has not referenced Apple as a foundry customer across these three earnings calls. (investing.com)</w:t>
      </w:r>
    </w:p>
    <w:p>
      <w:pPr>
        <w:pStyle w:val="ListBullet2"/>
      </w:pPr>
      <w:r>
        <w:rPr>
          <w:i/>
        </w:rPr>
        <w:t>→ Research: Search confirms Amazon (AWS) signed multibillion-dollar 18A commitment; Nvidia tested 18A but did not commit to foundry services. Microsoft also committed to 18A. Apple deal remains preliminary/interest stage only. (yahoo.com)</w:t>
      </w:r>
    </w:p>
    <w:p>
      <w:pPr>
        <w:pStyle w:val="ListBullet"/>
      </w:pPr>
      <w:r>
        <w:t>Supply constraints are the primary revenue limiter, and as supply increases through 2026, revenue will accelerate toward consensus $58.7B. — counter: On the Q1 2026 call, management explicitly stated the H2 supply ramp will proceed at 'a more measured pace than we anticipated 90 days ago,' directly contradicting the acceleration embedded in consensus. Component constraints (memory, wafers, substrates) were cited as ongoing headwinds. The prior-year H2 2025 sequential pattern showed Q3 +6.2% and Q4 +0.2% — consensus requires H2 2026 to be materially above this pattern. [serious]</w:t>
      </w:r>
    </w:p>
    <w:p>
      <w:pPr>
        <w:pStyle w:val="KillCriteria"/>
      </w:pPr>
      <w:r>
        <w:t>What would change our mind: Unable to close gap: Formal Apple foundry deal terms, volume commitments, and revenue start date — the single most important unresolved variable driving the stock above $140 with zero primary-source confirmation</w:t>
      </w:r>
    </w:p>
    <w:p>
      <w:pPr>
        <w:pStyle w:val="SectionHeading"/>
      </w:pPr>
      <w:r>
        <w:t>Appendix</w:t>
      </w:r>
    </w:p>
    <w:p>
      <w:pPr>
        <w:pStyle w:val="SubHeading"/>
      </w:pPr>
      <w:r>
        <w:t>Business context:</w:t>
      </w:r>
    </w:p>
    <w:p>
      <w:r>
        <w:t>Intel Corporation designs and manufactures semiconductors, primarily x86 CPUs for client PCs (CCG segment) and data center servers (DCAI segment), while also operating an internal foundry (Intel Foundry) that produces wafers for both internal products and external customers. The company monetizes its x86 franchise through product sales and is attempting to build a third-party foundry business to compete with TSMC, leveraging its advanced process nodes (Intel 18A, 14A) and advanced packaging capabilities.</w:t>
      </w:r>
    </w:p>
    <w:p>
      <w:pPr>
        <w:pStyle w:val="SubHeading"/>
      </w:pPr>
      <w:r>
        <w:t>Evidence gaps (research TODO):</w:t>
      </w:r>
    </w:p>
    <w:p>
      <w:pPr>
        <w:pStyle w:val="ListBullet"/>
      </w:pPr>
      <w:r>
        <w:t>Formal Apple foundry deal terms, volume commitments, and revenue start date — the single most important unresolved variable driving the stock above $140 with zero primary-source confirmation</w:t>
      </w:r>
    </w:p>
    <w:p>
      <w:pPr>
        <w:pStyle w:val="ListBullet"/>
      </w:pPr>
      <w:r>
        <w:t>Specific FY2026 full-year revenue and EPS guidance from management — no formal annual guidance was provided; all forward color is qualitative H2 supply commentary</w:t>
      </w:r>
    </w:p>
    <w:p>
      <w:pPr>
        <w:pStyle w:val="ListBullet"/>
      </w:pPr>
      <w:r>
        <w:t>Intel Foundry external customer pipeline beyond generic '14A engagements' — management has not disclosed named customers, committed volumes, or pricing for 14A external business</w:t>
      </w:r>
    </w:p>
    <w:p>
      <w:pPr>
        <w:pStyle w:val="ListBullet"/>
      </w:pPr>
      <w:r>
        <w:t>Quantified 14A OpEx investment level and expected duration — management cited 'intentional step up' but did not quantify the magnitude or when it peaks</w:t>
      </w:r>
    </w:p>
    <w:p>
      <w:pPr>
        <w:pStyle w:val="ListBullet"/>
      </w:pPr>
      <w:r>
        <w:t>GAAP-to-non-GAAP bridge for FY2026 — the $0.48/share FY2025 gap between GAAP (-$0.06) and non-GAAP ($0.42) EPS needs a forward reconciliation to assess whether consensus $1.09 non-GAAP implies positive or negative GAAP EPS in FY2026</w:t>
      </w:r>
    </w:p>
    <w:p>
      <w:pPr>
        <w:pStyle w:val="ListBullet"/>
      </w:pPr>
      <w:r>
        <w:t>Component shortage resolution timeline — management cited memory, wafer, and substrate constraints as ongoing but did not provide a specific resolution timeline for H2 2026</w:t>
      </w:r>
    </w:p>
    <w:p>
      <w:pPr>
        <w:pStyle w:val="ListBullet"/>
      </w:pPr>
      <w:r>
        <w:t>Mobileye and IMS segment trajectory — 'All Other' revenue of $628M in Q1 2026 was up 9% sequentially on 'strong quarter for Mobileye' but no forward guidance was provided for this segment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