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JBFCY — JBFCY</w:t>
      </w:r>
    </w:p>
    <w:p>
      <w:pPr>
        <w:pStyle w:val="SmallMeta"/>
      </w:pPr>
      <w:r>
        <w:t>As of 2026-06-23  |  Schema: restaurant  |  Data: yfinance (FY2025)</w:t>
      </w:r>
    </w:p>
    <w:p>
      <w:pPr>
        <w:pStyle w:val="SubHeading"/>
      </w:pPr>
      <w:r>
        <w:rPr>
          <w:color w:val="8C1D40"/>
        </w:rPr>
        <w:t>Direction: SHORT | Current: $8.28</w:t>
      </w:r>
    </w:p>
    <w:p>
      <w:pPr>
        <w:pStyle w:val="SubHeading"/>
      </w:pPr>
      <w:r>
        <w:t>Summary</w:t>
      </w:r>
    </w:p>
    <w:p>
      <w:pPr>
        <w:pStyle w:val="ListBullet"/>
      </w:pPr>
      <w:r>
        <w:t>Thesis: The street is likely anchoring to management's stated FY2026 operating income growth guidance of +15% to +20% as a credible recovery scenario, but the combination of April 2026 inflation printing 7.2% (sharply above JFC's own revised 6.4% forecast), a guidance reassessment explicitly flagged for Q2, and the mechanical math of recovering from a -18.2% Q1 miss makes the +15% to +20% range unreachable without an implausibly large H2 inflection; simultaneously, the market is underpricing the Shabu All Day acquisition's disclosed +8% EBIT accretion, which is a near-term earnings contributor the consensus has not yet had time to model into forward estimates.</w:t>
      </w:r>
    </w:p>
    <w:p>
      <w:pPr>
        <w:pStyle w:val="ListBullet"/>
      </w:pPr>
      <w:r>
        <w:t>Top risk: Management's H2 2026 margin recovery thesis assumes pricing actions and cost containment fully offset the Q1 inflation shock, delivering 'im</w:t>
      </w:r>
    </w:p>
    <w:tbl>
      <w:tblPr>
        <w:tblW w:type="auto" w:w="0"/>
        <w:tblLook w:firstColumn="1" w:firstRow="1" w:lastColumn="0" w:lastRow="0" w:noHBand="0" w:noVBand="1" w:val="04A0"/>
      </w:tblPr>
      <w:tblGrid>
        <w:gridCol w:w="9792"/>
      </w:tblGrid>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Same-Store Sales Growth diverges from guide per guidance_vs_our_view but the basis prose does not cite management's guide directly. A divergence-from-guide thesis requires an explicit guide quote ('mgmt guided $X-Y on Q_ call') and a named reason for the gap, not general skepticism.</w:t>
            </w:r>
          </w:p>
        </w:tc>
      </w:tr>
      <w:tr>
        <w:tc>
          <w:tcPr>
            <w:tcW w:type="dxa" w:w="9792"/>
            <w:shd w:val="clear" w:color="auto" w:fill="FBE9EC"/>
            <w:tcBorders>
              <w:top w:val="single" w:sz="4" w:color="BDC3C7"/>
              <w:bottom w:val="single" w:sz="4" w:color="BDC3C7"/>
              <w:left w:val="single" w:sz="4" w:color="BDC3C7"/>
              <w:right w:val="single" w:sz="4" w:color="BDC3C7"/>
            </w:tcBorders>
          </w:tcPr>
          <w:p>
            <w:pPr>
              <w:pStyle w:val="WarningBanner"/>
            </w:pPr>
            <w:r>
              <w:t>⚠ EPS Bridge fell back to mechanical model — baseline invalid: shares=0 (financials.diluted_shares_m missing); eps=0 (consensus_eps=0.0, guide_eps=None). Reported EPS uses the schema-driver model, which is less reliable than the bridge.</w:t>
            </w:r>
          </w:p>
        </w:tc>
      </w:tr>
    </w:tbl>
    <w:p>
      <w:pPr>
        <w:pStyle w:val="SectionHeading"/>
      </w:pPr>
      <w:r>
        <w:t>1. Research Synthesis</w:t>
      </w:r>
    </w:p>
    <w:p>
      <w:r>
        <w:t>Jollibee Foods entered FY2026 with a credible growth narrative — broad-based system-wide sales momentum, accelerating international expansion led by Compose Coffee and Jollibee International, and a Philippines business that management described as the 'undisputed and dominant market leader' with significant provincial penetration runway. The Q1 2026 results, however, delivered a sharp earnings shock: operating income fell -14.9% year-over-year against a full-year guidance of +15% to +20%, driven by a 330 basis point spike in cost of inventory as a percentage of revenue (from 55.5% to 58.8%) while the company took only a 0.4% average price increase — what CFO Richard Shin described on the Q1 2026 call as 'no price increase or very limited price increase, certainly below the inflation rates.' The gross margin compression of approximately 310 basis points (from 19.4% to 16.3%) is confirmed by the quarterly historical financials, which show Q1 2026 gross margin at 16.5% versus Q2 2025's 19.1% and Q1 2025's 18.5%. This is not a seasonal pattern — the sequential decline from Q4 2025 (18.1% GM) to Q1 2026 (16.5% GM) of approximately 160 basis points is materially worse than the Q4 2024 to Q1 2025 sequential, which showed Q1 2025 at 18.5% versus Q4 2024 (not available in the corpus, so the prior-year seasonal baseline is unverified). The pattern is directionally concerning but the prior-year Q4 2024 baseline is not in the corpus, so I label this conclusion as 'pattern partially verified — Q1 2025 vs Q4 2025 sequential available but Q4 2024 baseline absent.'</w:t>
      </w:r>
    </w:p>
    <w:p>
      <w:r>
        <w:t>The central analytical question is whether the H2 2026 recovery management is promising is mathematically achievable. Starting from FY2025 operating income of $353.1M (per the structured financials), the +15% to +20% guidance implies FY2026 operating income of approximately $406M to $424M. Q1 2026 operating income came in at $69M (per the quarterly historical table, 5.5% operating margin on $1,251M revenue). To hit the low end of guidance ($406M), the remaining three quarters (Q2-Q4 2026) need to deliver approximately $337M of operating income combined — versus Q2-Q4 2025's implied $272M (FY2025 $353M minus Q1 2025 $81M). That requires Q2-Q4 2026 to grow approximately 24% year-over-year versus the prior-year comparable period. This is not impossible given pricing actions implemented in April, the Php 2.8Bn cost containment plan, and bean price normalization benefiting the coffee segment — but it requires a near-perfect execution of every lever simultaneously. The bear case is that April 2026 Philippines CPI printed 7.2% (disclosed on Deck p.25), sharply above JFC's own revised forecast of 6.4% and the BSP's 6.3% forecast, driven by an oil price shock from the US-Iran war. Using JFC's own disclosed sensitivity of +0.37 percentage points of inflation per $10/bbl increase in Dubai crude, a sustained $30/bbl oil shock (plausible in a US-Iran conflict scenario) adds approximately 1.1 percentage points to the inflation trajectory — pushing realized FY2026 inflation potentially to 7.5%+ versus the 6.4% assumption embedded in management's guidance. This is a concrete, named failure mode, not general caution.</w:t>
      </w:r>
    </w:p>
    <w:p>
      <w:pPr>
        <w:pStyle w:val="ListBullet"/>
      </w:pPr>
      <w:r>
        <w:rPr>
          <w:i/>
        </w:rPr>
        <w:t>→ Research [CONTRADICTS]: FY2025 operating income was Php20.1 billion (not $353.1M). The claim's base figure appears to confuse currency or use an outdated/incorrect conversion. Php20.1B ÷ ~56 PHP/USD ≈ $359M, but official audited results state Php20.1 billion for FY2025. (jollibeegroup.com)</w:t>
      </w:r>
    </w:p>
    <w:p>
      <w:pPr>
        <w:pStyle w:val="ListBullet"/>
      </w:pPr>
      <w:r>
        <w:rPr>
          <w:i/>
        </w:rPr>
        <w:t>→ Research: Search confirms Jollibee's material exposure to PHP/USD currency fluctuations. CFO explicitly stated concern about peso weakness and its impact on costs and guidance; company uses hedging tools for 60% of imported inputs but remains exposed to translation effects on USD-denominated reporting. (insiderph.com)</w:t>
      </w:r>
    </w:p>
    <w:p>
      <w:r>
        <w:t>The GAAP versus management-framing reconciliation is important here. The structured financials show FY2025 gross profit of $0.0M at an 18.5% margin — this appears to be a data artifact (gross profit is listed as $0.0M but the margin is 18.5%), suggesting the gross profit line in the structured data is a display error rather than a real zero. The quarterly historical table confirms gross margins of 16.5% to 19.1% across the last five quarters, which is consistent with management's disclosed Q1 2026 gross margin of 16.3% (from the transcript: 'GP margin compression from 19.4% to 16.3%, that is roughly 310 basis points'). The 30 basis point difference between the transcript's 16.3% and the quarterly table's 16.5% is within rounding tolerance and does not represent a material GAAP/non-GAAP gap. The operating margin of 7.1% in the FY2025 structured financials is consistent with the quarterly trajectory (Q1 2025: 7.0%, Q2 2025: 7.8%, Q3 2025: 6.8%, Q4 2025: 6.1%), confirming no material reconciliation issue between reported and management-cited figures.</w:t>
      </w:r>
    </w:p>
    <w:p>
      <w:r>
        <w:t>The Shabu All Day acquisition represents the most underappreciated near-term earnings catalyst in the corpus. Management disclosed on Deck p.4 that the acquisition of approximately 170 stores represents 'potential +2% Revenue, +8% EBIT to the group.' Applying the +8% EBIT accretion to FY2025 operating income of $353.1M implies approximately $28M of incremental annual operating income — or roughly $7M per quarter once fully consolidated. The Korea FTC approval was announced April 16, 2026 (per the SEC Form 17-C filing), meaning this acquisition post-dates most consensus model updates. The +8% EBIT figure is management's own disclosed estimate, not an analyst inference, and it is directionally supported by the deal economics: acquiring Korea's largest all-you-can-eat hot pot chain at what management described as 'a very good multiple' (Q1 2026 call, CFO Shin) suggests the acquisition was not done at a premium that would dilute near-term returns. The key uncertainty is the consolidation timeline — the FTC approval was received but the acquisition closing date is not disclosed, so the quarterly phasing of the EBIT contribution is uncertain. However, the direction is clear: this is a positive earnings contributor that consensus has not had time to model.</w:t>
      </w:r>
    </w:p>
    <w:p>
      <w:pPr>
        <w:pStyle w:val="ListBullet"/>
      </w:pPr>
      <w:r>
        <w:rPr>
          <w:i/>
        </w:rPr>
        <w:t>→ Research confirms: Korea FTC approval was announced April 16, 2026, per official Jollibee Group disclosure. The +8% Global EBIT accretion thesis is confirmed in the same announcement. (jollibeegroup.com)</w:t>
      </w:r>
    </w:p>
    <w:p>
      <w:pPr>
        <w:pStyle w:val="ListBullet"/>
      </w:pPr>
      <w:r>
        <w:rPr>
          <w:i/>
        </w:rPr>
        <w:t>→ Research confirms: Multiple official sources confirm Jollibee's disclosure that Shabu All Day acquisition of approximately 170 stores is expected to contribute +2% Revenue and +8% Global EBIT to the group. (jollibeegroup.com)</w:t>
      </w:r>
    </w:p>
    <w:p>
      <w:r>
        <w:t>On the international growth story, the data is genuinely impressive and the market appears to be discounting it due to the Philippines margin noise. Jollibee International SWS grew +19.2% in Q1 2026, outperforming Yum Brands (+6.0%), McDonald's (+11.0%), and Restaurant Brands (+6.2%) on a directly comparable peer table (Deck p.17). Compose Coffee is running at 30+ monthly store openings with a sub-1% closure rate across 3,015 stores and 31% SWS growth year-over-year (Deck p.20). Tim Ho Wan delivered c.3.6x EBITDA expansion at 22.5% topline growth ex-China (Deck p.21), with EBITDA expanding from 28.4 to 101.4 in absolute terms. These are not marginal improvements — they represent a portfolio of international brands with genuine momentum. The coffee segment also benefits from a specific near-term tailwind: CFO Shin noted on the Q1 2026 call that 'bean prices also have stabilized, and we've seen a decrease in bean prices, which is to say we expect even stronger results in the second half at the cost of goods line.' This is a concrete, commodity-specific tailwind for the coffee segment that partially offsets the Philippines food cost headwind.</w:t>
      </w:r>
    </w:p>
    <w:p>
      <w:pPr>
        <w:pStyle w:val="ListBullet"/>
      </w:pPr>
      <w:r>
        <w:rPr>
          <w:i/>
        </w:rPr>
        <w:t>→ Research [UPDATES]: Earnings call confirms 31% SWS growth and sub-1% closure rate ("very little closures"), but store count is "north of 3,000" as of Q1 2026, not exactly 3,015. Jollibee IR confirms 3,000 stores reached September 2025; 3,140 stores as of February 2026. Monthly opening rate not independently disclosed. (yahoo.com)</w:t>
      </w:r>
    </w:p>
    <w:p>
      <w:r>
        <w:t>Management credibility deserves careful assessment. The CFO's shift to 'quarter-by-quarter action plans' language on the Q1 2026 call — 'I didn't put rest of the year here. We're talking now quarter by quarter type of action plans here' — is a meaningful signal of reduced forward visibility, even as the formal FY2026 guidance of +15% to +20% operating income growth remains on the deck. This is a multi-signal credibility concern: the guidance is formally intact but the CFO's verbal framing has already walked away from it. The deck explicitly states 'Management is reassessing guidance to be disclosed by Q2' (Deck p.29), which means the Q2 2026 results will be the first formal test of whether the guidance is revised down. The Q1 2026 SSSG of 3.5% also missed the guided 4%-6% range by 50 basis points, and the operating income miss of -18.2% versus +15% to +20% guidance is a 33-38 percentage point gap — the largest miss in the track record table. Against this, management did provide specific, quantified attribution (330bps cost-of-inventory spike, 0.4% average price increase versus inflation) and confirmed that pricing actions were implemented in April, which is a more credible remediation narrative than generic 'macro headwinds.'</w:t>
      </w:r>
    </w:p>
    <w:p>
      <w:pPr>
        <w:pStyle w:val="ListBullet"/>
      </w:pPr>
      <w:r>
        <w:rPr>
          <w:i/>
        </w:rPr>
        <w:t>→ Research: Jollibee Foods has 76 institutional 13F/13G filers holding 42.2M shares (PSE listing) and 44 filers holding 30.7M shares (OTCPK JBFCF). Top holders are diversified index/emerging market funds (Vanguard, T. Rowe Price, Goldman Sachs). No evidence of concentrated single-holder dominance or recent large-holder exits that would amplify guidance-revision downside. (fintel.io)</w:t>
      </w:r>
    </w:p>
    <w:p>
      <w:pPr>
        <w:pStyle w:val="ListBullet"/>
      </w:pPr>
      <w:r>
        <w:rPr>
          <w:i/>
        </w:rPr>
        <w:t>→ Research: Search found insider selling activity: Poe Chua (insider) sold 200k shares in November 2025 at ₱195/share (100% of direct holding) and 106k shares in December 2025 at ₱185/share. Insiders were net sellers of ₱196m in past 12 months. No specific Form 4 filings or 2026 guidance-cut context located. (simplywall.st)</w:t>
      </w:r>
    </w:p>
    <w:p>
      <w:r>
        <w:t>The macro context adds nuance. US headline CPI is running at +4.2% YoY (FRED, May 2026) and PPI at +13.1% YoY — the latter being the most relevant input cost signal for a food operator. Food away from home CPI is +3.5% YoY (BLS, May 2026), which sets the pricing ceiling for US QSR operators. Leisure and hospitality average hourly earnings are growing at +4.0% YoY (BLS, May 2026), outpacing food-away-from-home CPI by 50 basis points — a structural labor cost headwind for company-operated stores. For JBFCY specifically, the Philippines inflation dynamic is more acute: April 2026 actual inflation of 7.2% versus the 6.4% JFC internal forecast represents a 80 basis point upside surprise in a single month, driven by an oil price shock that has a quantified pass-through sensitivity (+0.37ppt per $10/bbl). The credit regime is risk-on (FINRA bond flow data shows HY net buying at $237M today and $333M 30-day average), which is a supportive backdrop for multiple expansion if the earnings recovery materializes — but it does not change the fundamental earnings math.</w:t>
      </w:r>
    </w:p>
    <w:p>
      <w:r>
        <w:t>The bear case to the recovery thesis is straightforward and should be stated clearly: if April 2026 Philippines inflation at 7.2% is not a one-month spike but the beginning of a sustained elevated inflation regime driven by the US-Iran oil shock, then the 'moderate single digit price increase' management implemented in April may be insufficient to restore margins, and the Php 2.8Bn cost containment plan may be offset by ongoing input cost escalation. The specific falsifier is the Q2 2026 operating margin — if it does not show meaningful sequential improvement from Q1 2026's 5.5% toward the 7%+ range that would be consistent with the full-year guidance, the guidance cut at Q2 results will be larger than the market currently expects. The strongest bull counter-argument is that the pricing actions are already implemented (confirmed '[IMPLEMENTED]' on Deck p.30), the cost containment plan is in place, bean prices are declining (a concrete tailwind for the coffee segment), and the Shabu All Day EBIT accretion is additive regardless of Philippines margin dynamics. The setup is genuinely two-sided, but the asymmetry favors a guidance cut at Q2 rather than a guidance confirmation.</w:t>
      </w:r>
    </w:p>
    <w:p>
      <w:pPr>
        <w:pStyle w:val="SubHeading"/>
      </w:pPr>
      <w:r>
        <w:t>Published anchors (reference):</w:t>
      </w:r>
    </w:p>
    <w:p>
      <w:pPr>
        <w:pStyle w:val="SubHeading"/>
      </w:pPr>
      <w:r>
        <w:t>Management guidance:</w:t>
      </w:r>
    </w:p>
    <w:p>
      <w:pPr>
        <w:pStyle w:val="ListBullet"/>
      </w:pPr>
      <w:r>
        <w:t>Revenue (FY2026): 8% to 12%  — Deck p.29</w:t>
      </w:r>
    </w:p>
    <w:p>
      <w:pPr>
        <w:pStyle w:val="ListBullet"/>
      </w:pPr>
      <w:r>
        <w:t>New Units (FY2026): 1,200 to 1,300 stores; 5% to 10%  — Deck p.29</w:t>
      </w:r>
    </w:p>
    <w:p>
      <w:pPr>
        <w:pStyle w:val="ListBullet"/>
      </w:pPr>
      <w:r>
        <w:t>Operating Income (FY2026): 15% to 20%  — Deck p.29</w:t>
      </w:r>
    </w:p>
    <w:p>
      <w:pPr>
        <w:pStyle w:val="ListBullet"/>
      </w:pPr>
      <w:r>
        <w:t>Guidance Reassessment Timing (Q2 2026): Management is reassessing guidance to be disclosed by Q2  — Deck p.29</w:t>
      </w:r>
    </w:p>
    <w:p>
      <w:pPr>
        <w:pStyle w:val="ListBullet"/>
      </w:pPr>
      <w:r>
        <w:t>Philippines Cpi Inflation Forecast Jfc Internal Estimate (FY2026): 6.4% (revised up from 6.1%)  — Deck p.25</w:t>
      </w:r>
    </w:p>
    <w:p>
      <w:pPr>
        <w:pStyle w:val="ListBullet"/>
      </w:pPr>
      <w:r>
        <w:t>Philippines Cpi Inflation April 2026 Actual (April 2026): 7.2%  — Deck p.25</w:t>
      </w:r>
    </w:p>
    <w:p>
      <w:pPr>
        <w:pStyle w:val="ListBullet"/>
      </w:pPr>
      <w:r>
        <w:t>Oil Pass Through Inflation Sensitivity (FY2026): +0.37 ppt inflation per US$10/bbl increase in Dubai crude  — Deck p.25</w:t>
      </w:r>
    </w:p>
    <w:p>
      <w:pPr>
        <w:pStyle w:val="ListBullet"/>
      </w:pPr>
      <w:r>
        <w:t>Bsp Fy2026 Inflation Forecast (FY2026): 6.3% (from 5.1%)  — Deck p.25</w:t>
      </w:r>
    </w:p>
    <w:p>
      <w:pPr>
        <w:pStyle w:val="PullQuote"/>
      </w:pPr>
      <w:r>
        <w:t>No structured edge claims survived validation (3 candidate(s) rejected — see Appendix).</w:t>
      </w:r>
    </w:p>
    <w:p>
      <w:pPr>
        <w:pStyle w:val="SectionHeading"/>
      </w:pPr>
      <w:r>
        <w:t>2. Drivers</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Driver / Component</w:t>
            </w:r>
          </w:p>
        </w:tc>
        <w:tc>
          <w:tcPr>
            <w:tcW w:type="dxa" w:w="2448"/>
            <w:shd w:val="clear" w:color="auto" w:fill="E8EDF5"/>
            <w:tcBorders>
              <w:top w:val="single" w:sz="4" w:color="BDC3C7"/>
              <w:bottom w:val="single" w:sz="4" w:color="BDC3C7"/>
              <w:left w:val="single" w:sz="4" w:color="BDC3C7"/>
              <w:right w:val="single" w:sz="4" w:color="BDC3C7"/>
            </w:tcBorders>
          </w:tcPr>
          <w:p>
            <w:r>
              <w:rPr>
                <w:b/>
              </w:rPr>
              <w:t>Value</w:t>
            </w:r>
          </w:p>
        </w:tc>
        <w:tc>
          <w:tcPr>
            <w:tcW w:type="dxa" w:w="2448"/>
            <w:shd w:val="clear" w:color="auto" w:fill="E8EDF5"/>
            <w:tcBorders>
              <w:top w:val="single" w:sz="4" w:color="BDC3C7"/>
              <w:bottom w:val="single" w:sz="4" w:color="BDC3C7"/>
              <w:left w:val="single" w:sz="4" w:color="BDC3C7"/>
              <w:right w:val="single" w:sz="4" w:color="BDC3C7"/>
            </w:tcBorders>
          </w:tcPr>
          <w:p>
            <w:r>
              <w:rPr>
                <w:b/>
              </w:rPr>
              <w:t>Conf.</w:t>
            </w:r>
          </w:p>
        </w:tc>
        <w:tc>
          <w:tcPr>
            <w:tcW w:type="dxa" w:w="2448"/>
            <w:shd w:val="clear" w:color="auto" w:fill="E8EDF5"/>
            <w:tcBorders>
              <w:top w:val="single" w:sz="4" w:color="BDC3C7"/>
              <w:bottom w:val="single" w:sz="4" w:color="BDC3C7"/>
              <w:left w:val="single" w:sz="4" w:color="BDC3C7"/>
              <w:right w:val="single" w:sz="4" w:color="BDC3C7"/>
            </w:tcBorders>
          </w:tcPr>
          <w:p>
            <w:r>
              <w:rPr>
                <w:b/>
              </w:rPr>
              <w:t>Basis</w:t>
            </w:r>
          </w:p>
        </w:tc>
      </w:tr>
      <w:tr>
        <w:tc>
          <w:tcPr>
            <w:tcW w:type="dxa" w:w="2448"/>
            <w:tcBorders>
              <w:top w:val="single" w:sz="4" w:color="BDC3C7"/>
              <w:bottom w:val="single" w:sz="4" w:color="BDC3C7"/>
              <w:left w:val="single" w:sz="4" w:color="BDC3C7"/>
              <w:right w:val="single" w:sz="4" w:color="BDC3C7"/>
            </w:tcBorders>
          </w:tcPr>
          <w:p>
            <w:r>
              <w:rPr>
                <w:b/>
              </w:rPr>
              <w:t>Same-Store Sales Growth</w:t>
            </w:r>
          </w:p>
        </w:tc>
        <w:tc>
          <w:tcPr>
            <w:tcW w:type="dxa" w:w="2448"/>
            <w:tcBorders>
              <w:top w:val="single" w:sz="4" w:color="BDC3C7"/>
              <w:bottom w:val="single" w:sz="4" w:color="BDC3C7"/>
              <w:left w:val="single" w:sz="4" w:color="BDC3C7"/>
              <w:right w:val="single" w:sz="4" w:color="BDC3C7"/>
            </w:tcBorders>
          </w:tcPr>
          <w:p>
            <w:r>
              <w:rPr>
                <w:b/>
              </w:rPr>
              <w:t>+2.90%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traffic_growth</w:t>
            </w:r>
          </w:p>
        </w:tc>
        <w:tc>
          <w:tcPr>
            <w:tcW w:type="dxa" w:w="2448"/>
            <w:tcBorders>
              <w:top w:val="single" w:sz="4" w:color="BDC3C7"/>
              <w:bottom w:val="single" w:sz="4" w:color="BDC3C7"/>
              <w:left w:val="single" w:sz="4" w:color="BDC3C7"/>
              <w:right w:val="single" w:sz="4" w:color="BDC3C7"/>
            </w:tcBorders>
          </w:tcPr>
          <w:p>
            <w:r>
              <w:t>+0.90%</w:t>
            </w:r>
          </w:p>
        </w:tc>
        <w:tc>
          <w:tcPr>
            <w:tcW w:type="dxa" w:w="2448"/>
            <w:tcBorders>
              <w:top w:val="single" w:sz="4" w:color="BDC3C7"/>
              <w:bottom w:val="single" w:sz="4" w:color="BDC3C7"/>
              <w:left w:val="single" w:sz="4" w:color="BDC3C7"/>
              <w:right w:val="single" w:sz="4" w:color="BDC3C7"/>
            </w:tcBorders>
          </w:tcPr>
          <w:p>
            <w:r>
              <w:t>0.50</w:t>
            </w:r>
          </w:p>
        </w:tc>
        <w:tc>
          <w:tcPr>
            <w:tcW w:type="dxa" w:w="2448"/>
            <w:tcBorders>
              <w:top w:val="single" w:sz="4" w:color="BDC3C7"/>
              <w:bottom w:val="single" w:sz="4" w:color="BDC3C7"/>
              <w:left w:val="single" w:sz="4" w:color="BDC3C7"/>
              <w:right w:val="single" w:sz="4" w:color="BDC3C7"/>
            </w:tcBorders>
          </w:tcPr>
          <w:p>
            <w:r>
              <w:t>In Q1 2026, management reported 8.2% system-wide same-store sales growth for the Philippines, described as driven by 'more from mix and from volumes' rather than pricing (Q1 2026 call, CFO Shin: 'It's not from pricing, i</w:t>
            </w:r>
          </w:p>
        </w:tc>
      </w:tr>
      <w:tr>
        <w:tc>
          <w:tcPr>
            <w:tcW w:type="dxa" w:w="2448"/>
            <w:tcBorders>
              <w:top w:val="single" w:sz="4" w:color="BDC3C7"/>
              <w:bottom w:val="single" w:sz="4" w:color="BDC3C7"/>
              <w:left w:val="single" w:sz="4" w:color="BDC3C7"/>
              <w:right w:val="single" w:sz="4" w:color="BDC3C7"/>
            </w:tcBorders>
          </w:tcPr>
          <w:p>
            <w:r>
              <w:t xml:space="preserve">    ticket_growth_price</w:t>
            </w:r>
          </w:p>
        </w:tc>
        <w:tc>
          <w:tcPr>
            <w:tcW w:type="dxa" w:w="2448"/>
            <w:tcBorders>
              <w:top w:val="single" w:sz="4" w:color="BDC3C7"/>
              <w:bottom w:val="single" w:sz="4" w:color="BDC3C7"/>
              <w:left w:val="single" w:sz="4" w:color="BDC3C7"/>
              <w:right w:val="single" w:sz="4" w:color="BDC3C7"/>
            </w:tcBorders>
          </w:tcPr>
          <w:p>
            <w:r>
              <w:t>+2.00%</w:t>
            </w:r>
          </w:p>
        </w:tc>
        <w:tc>
          <w:tcPr>
            <w:tcW w:type="dxa" w:w="2448"/>
            <w:tcBorders>
              <w:top w:val="single" w:sz="4" w:color="BDC3C7"/>
              <w:bottom w:val="single" w:sz="4" w:color="BDC3C7"/>
              <w:left w:val="single" w:sz="4" w:color="BDC3C7"/>
              <w:right w:val="single" w:sz="4" w:color="BDC3C7"/>
            </w:tcBorders>
          </w:tcPr>
          <w:p>
            <w:r>
              <w:t>0.60</w:t>
            </w:r>
          </w:p>
        </w:tc>
        <w:tc>
          <w:tcPr>
            <w:tcW w:type="dxa" w:w="2448"/>
            <w:tcBorders>
              <w:top w:val="single" w:sz="4" w:color="BDC3C7"/>
              <w:bottom w:val="single" w:sz="4" w:color="BDC3C7"/>
              <w:left w:val="single" w:sz="4" w:color="BDC3C7"/>
              <w:right w:val="single" w:sz="4" w:color="BDC3C7"/>
            </w:tcBorders>
          </w:tcPr>
          <w:p>
            <w:r>
              <w:t>Management implemented a 'moderate single digit price increase' in April 2026 for both Jollibee Philippines and Mang Inasal (Deck p.6, p.15: 'April 2026 price increase to support margin recovery while preserving demand')</w:t>
            </w:r>
          </w:p>
        </w:tc>
      </w:tr>
      <w:tr>
        <w:tc>
          <w:tcPr>
            <w:tcW w:type="dxa" w:w="2448"/>
            <w:tcBorders>
              <w:top w:val="single" w:sz="4" w:color="BDC3C7"/>
              <w:bottom w:val="single" w:sz="4" w:color="BDC3C7"/>
              <w:left w:val="single" w:sz="4" w:color="BDC3C7"/>
              <w:right w:val="single" w:sz="4" w:color="BDC3C7"/>
            </w:tcBorders>
          </w:tcPr>
          <w:p>
            <w:r>
              <w:rPr>
                <w:b/>
              </w:rPr>
              <w:t>New Store Openings</w:t>
            </w:r>
          </w:p>
        </w:tc>
        <w:tc>
          <w:tcPr>
            <w:tcW w:type="dxa" w:w="2448"/>
            <w:tcBorders>
              <w:top w:val="single" w:sz="4" w:color="BDC3C7"/>
              <w:bottom w:val="single" w:sz="4" w:color="BDC3C7"/>
              <w:left w:val="single" w:sz="4" w:color="BDC3C7"/>
              <w:right w:val="single" w:sz="4" w:color="BDC3C7"/>
            </w:tcBorders>
          </w:tcPr>
          <w:p>
            <w:r>
              <w:rPr>
                <w:b/>
              </w:rPr>
              <w:t>1100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franchised_new_stores</w:t>
            </w:r>
          </w:p>
        </w:tc>
        <w:tc>
          <w:tcPr>
            <w:tcW w:type="dxa" w:w="2448"/>
            <w:tcBorders>
              <w:top w:val="single" w:sz="4" w:color="BDC3C7"/>
              <w:bottom w:val="single" w:sz="4" w:color="BDC3C7"/>
              <w:left w:val="single" w:sz="4" w:color="BDC3C7"/>
              <w:right w:val="single" w:sz="4" w:color="BDC3C7"/>
            </w:tcBorders>
          </w:tcPr>
          <w:p>
            <w:r>
              <w:t>800</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Management has committed to 700-800 new franchised stores for FY2026 (Deck p.30: '[IMPLEMENTED] Accelerate growth and enhance ROIC through asset-light network expansion and restructuring: 700 to 800 of new franchised sto</w:t>
            </w:r>
          </w:p>
        </w:tc>
      </w:tr>
      <w:tr>
        <w:tc>
          <w:tcPr>
            <w:tcW w:type="dxa" w:w="2448"/>
            <w:tcBorders>
              <w:top w:val="single" w:sz="4" w:color="BDC3C7"/>
              <w:bottom w:val="single" w:sz="4" w:color="BDC3C7"/>
              <w:left w:val="single" w:sz="4" w:color="BDC3C7"/>
              <w:right w:val="single" w:sz="4" w:color="BDC3C7"/>
            </w:tcBorders>
          </w:tcPr>
          <w:p>
            <w:r>
              <w:t xml:space="preserve">    company_owned_new_stores</w:t>
            </w:r>
          </w:p>
        </w:tc>
        <w:tc>
          <w:tcPr>
            <w:tcW w:type="dxa" w:w="2448"/>
            <w:tcBorders>
              <w:top w:val="single" w:sz="4" w:color="BDC3C7"/>
              <w:bottom w:val="single" w:sz="4" w:color="BDC3C7"/>
              <w:left w:val="single" w:sz="4" w:color="BDC3C7"/>
              <w:right w:val="single" w:sz="4" w:color="BDC3C7"/>
            </w:tcBorders>
          </w:tcPr>
          <w:p>
            <w:r>
              <w:t>300</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Q1 2026 opened 181 total stores at 4.9% network growth. The full-year guidance of 1,200-1,300 net new stores implies approximately 400-500 company-owned stores (total minus 700-800 franchised). We model 400 company-owned</w:t>
            </w:r>
          </w:p>
        </w:tc>
      </w:tr>
      <w:tr>
        <w:tc>
          <w:tcPr>
            <w:tcW w:type="dxa" w:w="2448"/>
            <w:tcBorders>
              <w:top w:val="single" w:sz="4" w:color="BDC3C7"/>
              <w:bottom w:val="single" w:sz="4" w:color="BDC3C7"/>
              <w:left w:val="single" w:sz="4" w:color="BDC3C7"/>
              <w:right w:val="single" w:sz="4" w:color="BDC3C7"/>
            </w:tcBorders>
          </w:tcPr>
          <w:p>
            <w:r>
              <w:rPr>
                <w:b/>
              </w:rPr>
              <w:t>Food Cost</w:t>
            </w:r>
          </w:p>
        </w:tc>
        <w:tc>
          <w:tcPr>
            <w:tcW w:type="dxa" w:w="2448"/>
            <w:tcBorders>
              <w:top w:val="single" w:sz="4" w:color="BDC3C7"/>
              <w:bottom w:val="single" w:sz="4" w:color="BDC3C7"/>
              <w:left w:val="single" w:sz="4" w:color="BDC3C7"/>
              <w:right w:val="single" w:sz="4" w:color="BDC3C7"/>
            </w:tcBorders>
          </w:tcPr>
          <w:p>
            <w:r>
              <w:rPr>
                <w:b/>
              </w:rPr>
              <w:t>+110bps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commodity_inflation_headwind</w:t>
            </w:r>
          </w:p>
        </w:tc>
        <w:tc>
          <w:tcPr>
            <w:tcW w:type="dxa" w:w="2448"/>
            <w:tcBorders>
              <w:top w:val="single" w:sz="4" w:color="BDC3C7"/>
              <w:bottom w:val="single" w:sz="4" w:color="BDC3C7"/>
              <w:left w:val="single" w:sz="4" w:color="BDC3C7"/>
              <w:right w:val="single" w:sz="4" w:color="BDC3C7"/>
            </w:tcBorders>
          </w:tcPr>
          <w:p>
            <w:r>
              <w:t>+210bps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Q1 2026 cost of inventory rose 330bps year-over-year (from 55.5% to 58.8% of revenue per Q1 2026 call, CFO Shin). April 2026 Philippines CPI printed 7.2% (Deck p.25), above JFC's revised 6.4% forecast, driven by oil pric</w:t>
            </w:r>
          </w:p>
        </w:tc>
      </w:tr>
      <w:tr>
        <w:tc>
          <w:tcPr>
            <w:tcW w:type="dxa" w:w="2448"/>
            <w:tcBorders>
              <w:top w:val="single" w:sz="4" w:color="BDC3C7"/>
              <w:bottom w:val="single" w:sz="4" w:color="BDC3C7"/>
              <w:left w:val="single" w:sz="4" w:color="BDC3C7"/>
              <w:right w:val="single" w:sz="4" w:color="BDC3C7"/>
            </w:tcBorders>
          </w:tcPr>
          <w:p>
            <w:r>
              <w:t xml:space="preserve">    pricing_offset</w:t>
            </w:r>
          </w:p>
        </w:tc>
        <w:tc>
          <w:tcPr>
            <w:tcW w:type="dxa" w:w="2448"/>
            <w:tcBorders>
              <w:top w:val="single" w:sz="4" w:color="BDC3C7"/>
              <w:bottom w:val="single" w:sz="4" w:color="BDC3C7"/>
              <w:left w:val="single" w:sz="4" w:color="BDC3C7"/>
              <w:right w:val="single" w:sz="4" w:color="BDC3C7"/>
            </w:tcBorders>
          </w:tcPr>
          <w:p>
            <w:r>
              <w:t>-100bps</w:t>
            </w:r>
          </w:p>
        </w:tc>
        <w:tc>
          <w:tcPr>
            <w:tcW w:type="dxa" w:w="2448"/>
            <w:tcBorders>
              <w:top w:val="single" w:sz="4" w:color="BDC3C7"/>
              <w:bottom w:val="single" w:sz="4" w:color="BDC3C7"/>
              <w:left w:val="single" w:sz="4" w:color="BDC3C7"/>
              <w:right w:val="single" w:sz="4" w:color="BDC3C7"/>
            </w:tcBorders>
          </w:tcPr>
          <w:p>
            <w:r>
              <w:t>0.55</w:t>
            </w:r>
          </w:p>
        </w:tc>
        <w:tc>
          <w:tcPr>
            <w:tcW w:type="dxa" w:w="2448"/>
            <w:tcBorders>
              <w:top w:val="single" w:sz="4" w:color="BDC3C7"/>
              <w:bottom w:val="single" w:sz="4" w:color="BDC3C7"/>
              <w:left w:val="single" w:sz="4" w:color="BDC3C7"/>
              <w:right w:val="single" w:sz="4" w:color="BDC3C7"/>
            </w:tcBorders>
          </w:tcPr>
          <w:p>
            <w:r>
              <w:t>The 'moderate single digit' price increase implemented in April 2026 (Deck p.6) is expected to recover Q1 margin compression and cushion H2. Applying a 3%-4% price increase to a cost-of-inventory base of approximately 58</w:t>
            </w:r>
          </w:p>
        </w:tc>
      </w:tr>
      <w:tr>
        <w:tc>
          <w:tcPr>
            <w:tcW w:type="dxa" w:w="2448"/>
            <w:tcBorders>
              <w:top w:val="single" w:sz="4" w:color="BDC3C7"/>
              <w:bottom w:val="single" w:sz="4" w:color="BDC3C7"/>
              <w:left w:val="single" w:sz="4" w:color="BDC3C7"/>
              <w:right w:val="single" w:sz="4" w:color="BDC3C7"/>
            </w:tcBorders>
          </w:tcPr>
          <w:p>
            <w:r>
              <w:rPr>
                <w:b/>
              </w:rPr>
              <w:t>Labor Cost</w:t>
            </w:r>
          </w:p>
        </w:tc>
        <w:tc>
          <w:tcPr>
            <w:tcW w:type="dxa" w:w="2448"/>
            <w:tcBorders>
              <w:top w:val="single" w:sz="4" w:color="BDC3C7"/>
              <w:bottom w:val="single" w:sz="4" w:color="BDC3C7"/>
              <w:left w:val="single" w:sz="4" w:color="BDC3C7"/>
              <w:right w:val="single" w:sz="4" w:color="BDC3C7"/>
            </w:tcBorders>
          </w:tcPr>
          <w:p>
            <w:r>
              <w:rPr>
                <w:b/>
              </w:rPr>
              <w:t>+50bps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wage_inflation</w:t>
            </w:r>
          </w:p>
        </w:tc>
        <w:tc>
          <w:tcPr>
            <w:tcW w:type="dxa" w:w="2448"/>
            <w:tcBorders>
              <w:top w:val="single" w:sz="4" w:color="BDC3C7"/>
              <w:bottom w:val="single" w:sz="4" w:color="BDC3C7"/>
              <w:left w:val="single" w:sz="4" w:color="BDC3C7"/>
              <w:right w:val="single" w:sz="4" w:color="BDC3C7"/>
            </w:tcBorders>
          </w:tcPr>
          <w:p>
            <w:r>
              <w:t>+50bps</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Leisure and hospitality average hourly earnings are growing at +4.0% YoY (BLS, May 2026), outpacing food-away-from-home CPI of +3.5% YoY — a structural labor cost headwind for company-operated stores. For the Philippines</w:t>
            </w:r>
          </w:p>
        </w:tc>
      </w:tr>
      <w:tr>
        <w:tc>
          <w:tcPr>
            <w:tcW w:type="dxa" w:w="2448"/>
            <w:tcBorders>
              <w:top w:val="single" w:sz="4" w:color="BDC3C7"/>
              <w:bottom w:val="single" w:sz="4" w:color="BDC3C7"/>
              <w:left w:val="single" w:sz="4" w:color="BDC3C7"/>
              <w:right w:val="single" w:sz="4" w:color="BDC3C7"/>
            </w:tcBorders>
          </w:tcPr>
          <w:p>
            <w:r>
              <w:rPr>
                <w:b/>
              </w:rPr>
              <w:t>Other Operating Costs</w:t>
            </w:r>
          </w:p>
        </w:tc>
        <w:tc>
          <w:tcPr>
            <w:tcW w:type="dxa" w:w="2448"/>
            <w:tcBorders>
              <w:top w:val="single" w:sz="4" w:color="BDC3C7"/>
              <w:bottom w:val="single" w:sz="4" w:color="BDC3C7"/>
              <w:left w:val="single" w:sz="4" w:color="BDC3C7"/>
              <w:right w:val="single" w:sz="4" w:color="BDC3C7"/>
            </w:tcBorders>
          </w:tcPr>
          <w:p>
            <w:r>
              <w:rPr>
                <w:b/>
              </w:rPr>
              <w:t>-50bps</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cost_containment_savings</w:t>
            </w:r>
          </w:p>
        </w:tc>
        <w:tc>
          <w:tcPr>
            <w:tcW w:type="dxa" w:w="2448"/>
            <w:tcBorders>
              <w:top w:val="single" w:sz="4" w:color="BDC3C7"/>
              <w:bottom w:val="single" w:sz="4" w:color="BDC3C7"/>
              <w:left w:val="single" w:sz="4" w:color="BDC3C7"/>
              <w:right w:val="single" w:sz="4" w:color="BDC3C7"/>
            </w:tcBorders>
          </w:tcPr>
          <w:p>
            <w:r>
              <w:t>-50bps</w:t>
            </w:r>
          </w:p>
        </w:tc>
        <w:tc>
          <w:tcPr>
            <w:tcW w:type="dxa" w:w="2448"/>
            <w:tcBorders>
              <w:top w:val="single" w:sz="4" w:color="BDC3C7"/>
              <w:bottom w:val="single" w:sz="4" w:color="BDC3C7"/>
              <w:left w:val="single" w:sz="4" w:color="BDC3C7"/>
              <w:right w:val="single" w:sz="4" w:color="BDC3C7"/>
            </w:tcBorders>
          </w:tcPr>
          <w:p>
            <w:r>
              <w:t>0.45</w:t>
            </w:r>
          </w:p>
        </w:tc>
        <w:tc>
          <w:tcPr>
            <w:tcW w:type="dxa" w:w="2448"/>
            <w:tcBorders>
              <w:top w:val="single" w:sz="4" w:color="BDC3C7"/>
              <w:bottom w:val="single" w:sz="4" w:color="BDC3C7"/>
              <w:left w:val="single" w:sz="4" w:color="BDC3C7"/>
              <w:right w:val="single" w:sz="4" w:color="BDC3C7"/>
            </w:tcBorders>
          </w:tcPr>
          <w:p>
            <w:r>
              <w:t>The Php 2.8Bn cost containment plan (Deck p.30, marked '[IMPLEMENTED]') is designed to offset structural input pressures through 'disciplined, balanced cost controls and choiceful capex deferment.' Php 2.8Bn translates t</w:t>
            </w:r>
          </w:p>
        </w:tc>
      </w:tr>
      <w:tr>
        <w:tc>
          <w:tcPr>
            <w:tcW w:type="dxa" w:w="2448"/>
            <w:tcBorders>
              <w:top w:val="single" w:sz="4" w:color="BDC3C7"/>
              <w:bottom w:val="single" w:sz="4" w:color="BDC3C7"/>
              <w:left w:val="single" w:sz="4" w:color="BDC3C7"/>
              <w:right w:val="single" w:sz="4" w:color="BDC3C7"/>
            </w:tcBorders>
          </w:tcPr>
          <w:p>
            <w:r>
              <w:rPr>
                <w:b/>
              </w:rPr>
              <w:t>G&amp;A Growth</w:t>
            </w:r>
          </w:p>
        </w:tc>
        <w:tc>
          <w:tcPr>
            <w:tcW w:type="dxa" w:w="2448"/>
            <w:tcBorders>
              <w:top w:val="single" w:sz="4" w:color="BDC3C7"/>
              <w:bottom w:val="single" w:sz="4" w:color="BDC3C7"/>
              <w:left w:val="single" w:sz="4" w:color="BDC3C7"/>
              <w:right w:val="single" w:sz="4" w:color="BDC3C7"/>
            </w:tcBorders>
          </w:tcPr>
          <w:p>
            <w:r>
              <w:rPr>
                <w:b/>
              </w:rPr>
              <w:t>+6.00%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ga_growth</w:t>
            </w:r>
          </w:p>
        </w:tc>
        <w:tc>
          <w:tcPr>
            <w:tcW w:type="dxa" w:w="2448"/>
            <w:tcBorders>
              <w:top w:val="single" w:sz="4" w:color="BDC3C7"/>
              <w:bottom w:val="single" w:sz="4" w:color="BDC3C7"/>
              <w:left w:val="single" w:sz="4" w:color="BDC3C7"/>
              <w:right w:val="single" w:sz="4" w:color="BDC3C7"/>
            </w:tcBorders>
          </w:tcPr>
          <w:p>
            <w:r>
              <w:t>+6.00%</w:t>
            </w:r>
          </w:p>
        </w:tc>
        <w:tc>
          <w:tcPr>
            <w:tcW w:type="dxa" w:w="2448"/>
            <w:tcBorders>
              <w:top w:val="single" w:sz="4" w:color="BDC3C7"/>
              <w:bottom w:val="single" w:sz="4" w:color="BDC3C7"/>
              <w:left w:val="single" w:sz="4" w:color="BDC3C7"/>
              <w:right w:val="single" w:sz="4" w:color="BDC3C7"/>
            </w:tcBorders>
          </w:tcPr>
          <w:p>
            <w:r>
              <w:t>0.40</w:t>
            </w:r>
          </w:p>
        </w:tc>
        <w:tc>
          <w:tcPr>
            <w:tcW w:type="dxa" w:w="2448"/>
            <w:tcBorders>
              <w:top w:val="single" w:sz="4" w:color="BDC3C7"/>
              <w:bottom w:val="single" w:sz="4" w:color="BDC3C7"/>
              <w:left w:val="single" w:sz="4" w:color="BDC3C7"/>
              <w:right w:val="single" w:sz="4" w:color="BDC3C7"/>
            </w:tcBorders>
          </w:tcPr>
          <w:p>
            <w:r>
              <w:t xml:space="preserve">G&amp;A growth is not explicitly guided by management. We model 6% growth, consistent with the revenue growth trajectory and the investment in international franchising infrastructure (dedicated Canada franchising resource, </w:t>
            </w:r>
          </w:p>
        </w:tc>
      </w:tr>
      <w:tr>
        <w:tc>
          <w:tcPr>
            <w:tcW w:type="dxa" w:w="2448"/>
            <w:tcBorders>
              <w:top w:val="single" w:sz="4" w:color="BDC3C7"/>
              <w:bottom w:val="single" w:sz="4" w:color="BDC3C7"/>
              <w:left w:val="single" w:sz="4" w:color="BDC3C7"/>
              <w:right w:val="single" w:sz="4" w:color="BDC3C7"/>
            </w:tcBorders>
          </w:tcPr>
          <w:p>
            <w:r>
              <w:rPr>
                <w:b/>
              </w:rPr>
              <w:t>Stock Compensation</w:t>
            </w:r>
          </w:p>
        </w:tc>
        <w:tc>
          <w:tcPr>
            <w:tcW w:type="dxa" w:w="2448"/>
            <w:tcBorders>
              <w:top w:val="single" w:sz="4" w:color="BDC3C7"/>
              <w:bottom w:val="single" w:sz="4" w:color="BDC3C7"/>
              <w:left w:val="single" w:sz="4" w:color="BDC3C7"/>
              <w:right w:val="single" w:sz="4" w:color="BDC3C7"/>
            </w:tcBorders>
          </w:tcPr>
          <w:p>
            <w:r>
              <w:rPr>
                <w:b/>
              </w:rPr>
              <w:t>+5.00%</w:t>
            </w:r>
          </w:p>
        </w:tc>
        <w:tc>
          <w:tcPr>
            <w:tcW w:type="dxa" w:w="2448"/>
            <w:tcBorders>
              <w:top w:val="single" w:sz="4" w:color="BDC3C7"/>
              <w:bottom w:val="single" w:sz="4" w:color="BDC3C7"/>
              <w:left w:val="single" w:sz="4" w:color="BDC3C7"/>
              <w:right w:val="single" w:sz="4" w:color="BDC3C7"/>
            </w:tcBorders>
          </w:tcPr>
          <w:p>
            <w:r>
              <w:rPr>
                <w:b/>
              </w:rPr>
            </w:r>
          </w:p>
        </w:tc>
        <w:tc>
          <w:tcPr>
            <w:tcW w:type="dxa" w:w="2448"/>
            <w:tcBorders>
              <w:top w:val="single" w:sz="4" w:color="BDC3C7"/>
              <w:bottom w:val="single" w:sz="4" w:color="BDC3C7"/>
              <w:left w:val="single" w:sz="4" w:color="BDC3C7"/>
              <w:right w:val="single" w:sz="4" w:color="BDC3C7"/>
            </w:tcBorders>
          </w:tcPr>
          <w:p>
            <w:r>
              <w:rPr>
                <w:b/>
              </w:rPr>
            </w:r>
          </w:p>
        </w:tc>
      </w:tr>
      <w:tr>
        <w:tc>
          <w:tcPr>
            <w:tcW w:type="dxa" w:w="2448"/>
            <w:tcBorders>
              <w:top w:val="single" w:sz="4" w:color="BDC3C7"/>
              <w:bottom w:val="single" w:sz="4" w:color="BDC3C7"/>
              <w:left w:val="single" w:sz="4" w:color="BDC3C7"/>
              <w:right w:val="single" w:sz="4" w:color="BDC3C7"/>
            </w:tcBorders>
          </w:tcPr>
          <w:p>
            <w:r>
              <w:t xml:space="preserve">    stock_comp_growth</w:t>
            </w:r>
          </w:p>
        </w:tc>
        <w:tc>
          <w:tcPr>
            <w:tcW w:type="dxa" w:w="2448"/>
            <w:tcBorders>
              <w:top w:val="single" w:sz="4" w:color="BDC3C7"/>
              <w:bottom w:val="single" w:sz="4" w:color="BDC3C7"/>
              <w:left w:val="single" w:sz="4" w:color="BDC3C7"/>
              <w:right w:val="single" w:sz="4" w:color="BDC3C7"/>
            </w:tcBorders>
          </w:tcPr>
          <w:p>
            <w:r>
              <w:t>+5.00%</w:t>
            </w:r>
          </w:p>
        </w:tc>
        <w:tc>
          <w:tcPr>
            <w:tcW w:type="dxa" w:w="2448"/>
            <w:tcBorders>
              <w:top w:val="single" w:sz="4" w:color="BDC3C7"/>
              <w:bottom w:val="single" w:sz="4" w:color="BDC3C7"/>
              <w:left w:val="single" w:sz="4" w:color="BDC3C7"/>
              <w:right w:val="single" w:sz="4" w:color="BDC3C7"/>
            </w:tcBorders>
          </w:tcPr>
          <w:p>
            <w:r>
              <w:t>0.35</w:t>
            </w:r>
          </w:p>
        </w:tc>
        <w:tc>
          <w:tcPr>
            <w:tcW w:type="dxa" w:w="2448"/>
            <w:tcBorders>
              <w:top w:val="single" w:sz="4" w:color="BDC3C7"/>
              <w:bottom w:val="single" w:sz="4" w:color="BDC3C7"/>
              <w:left w:val="single" w:sz="4" w:color="BDC3C7"/>
              <w:right w:val="single" w:sz="4" w:color="BDC3C7"/>
            </w:tcBorders>
          </w:tcPr>
          <w:p>
            <w:r>
              <w:t>Stock compensation is not disclosed in the corpus at a granular level. We model 5% growth as a placeholder, consistent with a company in active international expansion that is building out management teams in new markets</w:t>
            </w:r>
          </w:p>
        </w:tc>
      </w:tr>
    </w:tbl>
    <w:p>
      <w:pPr>
        <w:pStyle w:val="SubHeading"/>
      </w:pPr>
      <w:r>
        <w:t>Bear revisions:</w:t>
      </w:r>
    </w:p>
    <w:p>
      <w:pPr>
        <w:pStyle w:val="ListBullet"/>
      </w:pPr>
      <w:r>
        <w:t>Food Cost.commodity_inflation_headwind: 150 → 250 — If the US-Iran oil shock is sustained and Dubai crude rises by $30/bbl or more from current levels, JFC's own disclosed sensitivity of +0.37ppt inflation per $10/bbl implies approximately 1.1ppt of additional Philippines inflation — pushing FY2026 realized inflation to approximately 8.3% versus the 6.4% embedded in guidance. At 8.3% inflation with only a 'moderate single digit' price increase, the food cost headwind could persist at 200-250bps rather than normalizing to 150bps, making the H2 margin recovery thesis mathematically unreachable.</w:t>
      </w:r>
    </w:p>
    <w:p>
      <w:pPr>
        <w:pStyle w:val="ListBullet"/>
      </w:pPr>
      <w:r>
        <w:t>Same-Store Sales Growth.traffic_growth: 1.5 → 0.5 — If the April 2026 'low single digit' same-store sales trajectory persists into Q2 and Q3 due to consumer income compression from 7.2% inflation, traffic growth could fall to near-zero or negative for the Philippines business. The CFO noted election-spending base effects in April, but if the underlying consumer is more stressed than management acknowledges (Philippines personal saving rate data not available in corpus, but US saving rate at 2.6% and falling per FRED suggests global consumer stress), traffic could underperform the 1.5% base case.</w:t>
      </w:r>
    </w:p>
    <w:p>
      <w:pPr>
        <w:pStyle w:val="ListBullet"/>
      </w:pPr>
      <w:r>
        <w:t>New Store Openings.company_owned_new_stores: 400 → 300 — The 'choiceful capex deferment' language in the Php 2.8Bn cost containment plan (Deck p.30) suggests management is actively slowing company-owned store openings to preserve cash. If the Philippines margin pressure persists into H2 2026, management may defer additional company-owned openings beyond the base case, reducing the contribution of new stores to FY2026 revenue growth. Q1's 181 total openings annualizes to approximately 724 — well below the 1,200 guidance floor — and the acceleration required in Q2-Q4 may not materialize if cash generation is constrained.</w:t>
      </w:r>
    </w:p>
    <w:p>
      <w:pPr>
        <w:pStyle w:val="ListBullet"/>
      </w:pPr>
      <w:r>
        <w:rPr>
          <w:i/>
        </w:rPr>
        <w:t>→ Research: CFO statement on bean price stabilization confirmed in Q1 FY2026 earnings (May 2026), but search found no disclosure of forward hedging contracts. Company's risk management framework emphasizes avoiding long-term debt and foreign currency exposure, but commodity hedging practices remain undisclosed—critical gap for margin timing analysis. (yahoo.com)</w:t>
      </w:r>
    </w:p>
    <w:p>
      <w:pPr>
        <w:pStyle w:val="SectionHeading"/>
      </w:pPr>
      <w:r>
        <w:t>3. Consensus Gap &amp; Valuation</w:t>
      </w:r>
    </w:p>
    <w:p>
      <w:r>
        <w:t>Our EPS: $0.00  =  baseline $0.00  +  Σ claim impacts $+0.00</w:t>
      </w:r>
    </w:p>
    <w:p>
      <w:pPr>
        <w:pStyle w:val="SubHeading"/>
      </w:pPr>
      <w:r>
        <w:t>EPS Bridge (consensus baseline + flow-through):</w:t>
      </w:r>
    </w:p>
    <w:tbl>
      <w:tblPr>
        <w:tblW w:type="auto" w:w="0"/>
        <w:tblLook w:firstColumn="1" w:firstRow="1" w:lastColumn="0" w:lastRow="0" w:noHBand="0" w:noVBand="1" w:val="04A0"/>
      </w:tblPr>
      <w:tblGrid>
        <w:gridCol w:w="2448"/>
        <w:gridCol w:w="2448"/>
        <w:gridCol w:w="2448"/>
        <w:gridCol w:w="2448"/>
      </w:tblGrid>
      <w:tr>
        <w:tc>
          <w:tcPr>
            <w:tcW w:type="dxa" w:w="2448"/>
            <w:shd w:val="clear" w:color="auto" w:fill="E8EDF5"/>
            <w:tcBorders>
              <w:top w:val="single" w:sz="4" w:color="BDC3C7"/>
              <w:bottom w:val="single" w:sz="4" w:color="BDC3C7"/>
              <w:left w:val="single" w:sz="4" w:color="BDC3C7"/>
              <w:right w:val="single" w:sz="4" w:color="BDC3C7"/>
            </w:tcBorders>
          </w:tcPr>
          <w:p>
            <w:r>
              <w:rPr>
                <w:b/>
              </w:rPr>
              <w:t>Line</w:t>
            </w:r>
          </w:p>
        </w:tc>
        <w:tc>
          <w:tcPr>
            <w:tcW w:type="dxa" w:w="2448"/>
            <w:shd w:val="clear" w:color="auto" w:fill="E8EDF5"/>
            <w:tcBorders>
              <w:top w:val="single" w:sz="4" w:color="BDC3C7"/>
              <w:bottom w:val="single" w:sz="4" w:color="BDC3C7"/>
              <w:left w:val="single" w:sz="4" w:color="BDC3C7"/>
              <w:right w:val="single" w:sz="4" w:color="BDC3C7"/>
            </w:tcBorders>
          </w:tcPr>
          <w:p>
            <w:r>
              <w:rPr>
                <w:b/>
              </w:rPr>
              <w:t>Anchor / Δ</w:t>
            </w:r>
          </w:p>
        </w:tc>
        <w:tc>
          <w:tcPr>
            <w:tcW w:type="dxa" w:w="2448"/>
            <w:shd w:val="clear" w:color="auto" w:fill="E8EDF5"/>
            <w:tcBorders>
              <w:top w:val="single" w:sz="4" w:color="BDC3C7"/>
              <w:bottom w:val="single" w:sz="4" w:color="BDC3C7"/>
              <w:left w:val="single" w:sz="4" w:color="BDC3C7"/>
              <w:right w:val="single" w:sz="4" w:color="BDC3C7"/>
            </w:tcBorders>
          </w:tcPr>
          <w:p>
            <w:r>
              <w:rPr>
                <w:b/>
              </w:rPr>
              <w:t>Flow-through</w:t>
            </w:r>
          </w:p>
        </w:tc>
        <w:tc>
          <w:tcPr>
            <w:tcW w:type="dxa" w:w="2448"/>
            <w:shd w:val="clear" w:color="auto" w:fill="E8EDF5"/>
            <w:tcBorders>
              <w:top w:val="single" w:sz="4" w:color="BDC3C7"/>
              <w:bottom w:val="single" w:sz="4" w:color="BDC3C7"/>
              <w:left w:val="single" w:sz="4" w:color="BDC3C7"/>
              <w:right w:val="single" w:sz="4" w:color="BDC3C7"/>
            </w:tcBorders>
          </w:tcPr>
          <w:p>
            <w:r>
              <w:rPr>
                <w:b/>
              </w:rPr>
              <w:t>EPS impact</w:t>
            </w:r>
          </w:p>
        </w:tc>
      </w:tr>
      <w:tr>
        <w:tc>
          <w:tcPr>
            <w:tcW w:type="dxa" w:w="2448"/>
            <w:tcBorders>
              <w:top w:val="single" w:sz="4" w:color="BDC3C7"/>
              <w:bottom w:val="single" w:sz="4" w:color="BDC3C7"/>
              <w:left w:val="single" w:sz="4" w:color="BDC3C7"/>
              <w:right w:val="single" w:sz="4" w:color="BDC3C7"/>
            </w:tcBorders>
          </w:tcPr>
          <w:p>
            <w:r>
              <w:rPr>
                <w:b/>
              </w:rPr>
              <w:t>Baseline</w:t>
            </w:r>
          </w:p>
        </w:tc>
        <w:tc>
          <w:tcPr>
            <w:tcW w:type="dxa" w:w="2448"/>
            <w:tcBorders>
              <w:top w:val="single" w:sz="4" w:color="BDC3C7"/>
              <w:bottom w:val="single" w:sz="4" w:color="BDC3C7"/>
              <w:left w:val="single" w:sz="4" w:color="BDC3C7"/>
              <w:right w:val="single" w:sz="4" w:color="BDC3C7"/>
            </w:tcBorders>
          </w:tcPr>
          <w:p>
            <w:r>
              <w:rPr>
                <w:b/>
              </w:rPr>
              <w:t>Revenue: Prior-year revenue × (1 + 8.0% guidance growth) — consensus revenue mean missing; EPS: FY consensus EPS</w:t>
            </w:r>
          </w:p>
        </w:tc>
        <w:tc>
          <w:tcPr>
            <w:tcW w:type="dxa" w:w="2448"/>
            <w:tcBorders>
              <w:top w:val="single" w:sz="4" w:color="BDC3C7"/>
              <w:bottom w:val="single" w:sz="4" w:color="BDC3C7"/>
              <w:left w:val="single" w:sz="4" w:color="BDC3C7"/>
              <w:right w:val="single" w:sz="4" w:color="BDC3C7"/>
            </w:tcBorders>
          </w:tcPr>
          <w:p>
            <w:r>
              <w:rPr>
                <w:b/>
              </w:rPr>
              <w:t>—</w:t>
            </w:r>
          </w:p>
        </w:tc>
        <w:tc>
          <w:tcPr>
            <w:tcW w:type="dxa" w:w="2448"/>
            <w:tcBorders>
              <w:top w:val="single" w:sz="4" w:color="BDC3C7"/>
              <w:bottom w:val="single" w:sz="4" w:color="BDC3C7"/>
              <w:left w:val="single" w:sz="4" w:color="BDC3C7"/>
              <w:right w:val="single" w:sz="4" w:color="BDC3C7"/>
            </w:tcBorders>
          </w:tcPr>
          <w:p>
            <w:r>
              <w:rPr>
                <w:b/>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i/>
              </w:rPr>
              <w:t>Σ Δ</w:t>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r>
          </w:p>
        </w:tc>
        <w:tc>
          <w:tcPr>
            <w:tcW w:type="dxa" w:w="2448"/>
            <w:shd w:val="clear" w:color="auto" w:fill="E8EDF5"/>
            <w:tcBorders>
              <w:top w:val="single" w:sz="4" w:color="BDC3C7"/>
              <w:bottom w:val="single" w:sz="4" w:color="BDC3C7"/>
              <w:left w:val="single" w:sz="4" w:color="BDC3C7"/>
              <w:right w:val="single" w:sz="4" w:color="BDC3C7"/>
            </w:tcBorders>
          </w:tcPr>
          <w:p>
            <w:r>
              <w:rPr>
                <w:i/>
              </w:rPr>
              <w:t>+0.00</w:t>
            </w:r>
          </w:p>
        </w:tc>
      </w:tr>
      <w:tr>
        <w:tc>
          <w:tcPr>
            <w:tcW w:type="dxa" w:w="2448"/>
            <w:shd w:val="clear" w:color="auto" w:fill="E8EDF5"/>
            <w:tcBorders>
              <w:top w:val="single" w:sz="4" w:color="BDC3C7"/>
              <w:bottom w:val="single" w:sz="4" w:color="BDC3C7"/>
              <w:left w:val="single" w:sz="4" w:color="BDC3C7"/>
              <w:right w:val="single" w:sz="4" w:color="BDC3C7"/>
            </w:tcBorders>
          </w:tcPr>
          <w:p>
            <w:r>
              <w:rPr>
                <w:b/>
              </w:rPr>
              <w:t>Our EPS</w:t>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r>
          </w:p>
        </w:tc>
        <w:tc>
          <w:tcPr>
            <w:tcW w:type="dxa" w:w="2448"/>
            <w:shd w:val="clear" w:color="auto" w:fill="E8EDF5"/>
            <w:tcBorders>
              <w:top w:val="single" w:sz="4" w:color="BDC3C7"/>
              <w:bottom w:val="single" w:sz="4" w:color="BDC3C7"/>
              <w:left w:val="single" w:sz="4" w:color="BDC3C7"/>
              <w:right w:val="single" w:sz="4" w:color="BDC3C7"/>
            </w:tcBorders>
          </w:tcPr>
          <w:p>
            <w:r>
              <w:rPr>
                <w:b/>
              </w:rPr>
              <w:t>$0.00</w:t>
            </w:r>
          </w:p>
        </w:tc>
      </w:tr>
    </w:tbl>
    <w:p>
      <w:pPr>
        <w:pStyle w:val="PullQuote"/>
      </w:pPr>
      <w:r>
        <w:t xml:space="preserve">  ⚠ Baseline P&amp;L could not be constructed (missing consensus or shares); EPS build degraded to baseline EPS only.</w:t>
      </w:r>
    </w:p>
    <w:p>
      <w:r>
        <w:t>No consensus EPS to compare against</w:t>
      </w:r>
    </w:p>
    <w:p>
      <w:r>
        <w:t>Priced in: not fully</w:t>
      </w:r>
    </w:p>
    <w:p>
      <w:r>
        <w:t>Edge verdict: NO_CONSENSUS (score 0.000).</w:t>
      </w:r>
    </w:p>
    <w:p>
      <w:pPr>
        <w:pStyle w:val="SectionHeading"/>
      </w:pPr>
      <w:r>
        <w:t>4. Catalysts</w:t>
      </w:r>
    </w:p>
    <w:p>
      <w:r>
        <w:t>No dated catalysts identified in filings or available market data.</w:t>
      </w:r>
    </w:p>
    <w:p>
      <w:pPr>
        <w:pStyle w:val="SectionHeading"/>
      </w:pPr>
      <w:r>
        <w:t>5. Risks, Blind Spots &amp; Kill Criteria</w:t>
      </w:r>
    </w:p>
    <w:p>
      <w:pPr>
        <w:pStyle w:val="SubHeading"/>
      </w:pPr>
      <w:r>
        <w:t>Top risks:</w:t>
      </w:r>
    </w:p>
    <w:p>
      <w:pPr>
        <w:pStyle w:val="ListBullet"/>
      </w:pPr>
      <w:r>
        <w:t>Management's H2 2026 margin recovery thesis assumes pricing actions and cost containment fully offset the Q1 inflation shock, delivering 'improved margins + operating leverage at new run rate' (Deck p.8) — counter: April 2026 Philippines CPI printed 7.2% (Deck p.25), sharply above JFC's own revised 6.4% forecast and the BSP's 6.3% forecast, driven by an oil price shock with a quantified pass-through sensitivity of +0.37ppt per $10/bbl increase in Dubai crude. A sustained $30/bbl oil shock adds approximately 1.1ppt to the inflation trajectory, pushing realized FY2026 inflation potentially to 7.5%+ versus the 6.4% assumption embedded in guidance. The CFO's shift to 'quarter-by-quarter action plans' language (Q1 2026 call) and the explicit guidance reassessment flagged for Q2 (Deck p.29) are inconsistent with the confidence level implied by the formal +15% to +20% operating income guidance. [serious]</w:t>
      </w:r>
    </w:p>
    <w:p>
      <w:pPr>
        <w:pStyle w:val="ListBullet2"/>
      </w:pPr>
      <w:r>
        <w:rPr>
          <w:i/>
        </w:rPr>
        <w:t>→ Research confirms: April 2026 Philippines CPI printed 7.2% per Philippine Statistics Authority. BSP forecast range was 5.6%–6.4%, not 6.3% as stated in brief; actual exceeded both forecasts. Oil shock from Iran conflict confirmed as primary driver. (gov.ph)</w:t>
      </w:r>
    </w:p>
    <w:p>
      <w:pPr>
        <w:pStyle w:val="ListBullet"/>
      </w:pPr>
      <w:r>
        <w:t>The asset-light franchise model transition is accelerating, with 700-800 new franchised stores targeted for FY2026 and the ratio of franchise to company-owned openings described as 'night and day' (Q1 2026 call, CFO) — counter: Q1 2026 opened 181 total stores at 4.9% network growth — annualizing to approximately 724 stores, below the 1,200-1,300 full-year guidance. The Php 1.3Bn COO-to-FR conversion investment for Yonghe King and Smashburger (Deck p.30) is a cash outflow that reduces near-term free cash flow even as it improves the long-term asset-light profile. The Yonghe King China business is also experiencing same-store sales softness from aggregator subsidy withdrawal (Q1 2026 call, CFO: 'The aggregators were pumping in quite a bit of funds to support these promos and programs. That has pretty much scaled back, pulled back'), which complicates the conversion economics. [moderate]</w:t>
      </w:r>
    </w:p>
    <w:p>
      <w:pPr>
        <w:pStyle w:val="ListBullet"/>
      </w:pPr>
      <w:r>
        <w:t>The Philippines business is resilient with 8.0% SWS growth in Q1 2026 and strong brand share gains versus competitors — counter: Q1 2026 Philippines same-store sales of 8.2% missed the guided 4%-6% floor (the Q1 actual was above the full-year guidance range, but management described it as 'slightly below what we had hoped for' — suggesting internal targets were higher). April QTD is tracking at 'low single digit' same-store sales (Q1 2026 call, CFO), with the CFO citing election-spending base effects from prior year. The Philippines operating income margin of 7.7% in Q1 2026 (Deck p.9) is below the Q2 2025 level of 7.8% and the Q1 2025 level of 7.0% — the year-over-year comparison is flat to slightly positive, but the sequential trend from Q2 2025 is deteriorating. [moderate]</w:t>
      </w:r>
    </w:p>
    <w:p>
      <w:pPr>
        <w:pStyle w:val="KillCriteria"/>
      </w:pPr>
      <w:r>
        <w:t>What would change our mind: Unable to close gap: Q4 2024 quarterly revenue and operating income — needed to verify whether Q1 2025 vs Q4 2024 sequential pattern is consistent with Q1 2026 vs Q4 2025, which would confirm whether the Q1 2026 sequential deterioration is seasonal-normal or a real break</w:t>
      </w:r>
    </w:p>
    <w:p>
      <w:pPr>
        <w:pStyle w:val="SectionHeading"/>
      </w:pPr>
      <w:r>
        <w:t>Appendix</w:t>
      </w:r>
    </w:p>
    <w:p>
      <w:pPr>
        <w:pStyle w:val="SubHeading"/>
      </w:pPr>
      <w:r>
        <w:t>Evidence gaps (research TODO):</w:t>
      </w:r>
    </w:p>
    <w:p>
      <w:pPr>
        <w:pStyle w:val="ListBullet"/>
      </w:pPr>
      <w:r>
        <w:t>Q4 2024 quarterly revenue and operating income — needed to verify whether Q1 2025 vs Q4 2024 sequential pattern is consistent with Q1 2026 vs Q4 2025, which would confirm whether the Q1 2026 sequential deterioration is seasonal-normal or a real break</w:t>
      </w:r>
    </w:p>
    <w:p>
      <w:pPr>
        <w:pStyle w:val="ListBullet"/>
      </w:pPr>
      <w:r>
        <w:t>Shabu All Day acquisition closing date and consolidation timeline — the FTC approval was received April 16, 2026, but the closing date is not disclosed, making it impossible to precisely phase the +8% EBIT accretion into quarterly estimates</w:t>
      </w:r>
    </w:p>
    <w:p>
      <w:pPr>
        <w:pStyle w:val="ListBullet"/>
      </w:pPr>
      <w:r>
        <w:t>Philippines segment revenue and operating income breakdown by brand (Jollibee vs Mang Inasal vs Chowking) — the 90% concentration disclosure is helpful but brand-level margin dynamics are not disclosed, limiting the ability to model the pricing recovery precisely</w:t>
      </w:r>
    </w:p>
    <w:p>
      <w:pPr>
        <w:pStyle w:val="ListBullet"/>
      </w:pPr>
      <w:r>
        <w:t>Yonghe King China segment operating income — the aggregator subsidy withdrawal headwind is disclosed qualitatively but not quantified, making it impossible to assess the magnitude of the China drag on consolidated operating income</w:t>
      </w:r>
    </w:p>
    <w:p>
      <w:pPr>
        <w:pStyle w:val="ListBullet"/>
      </w:pPr>
      <w:r>
        <w:t>FY2026 revised guidance — management flagged a reassessment to be disclosed by Q2, but the Q2 results have not yet been released; the revised guidance will be the single most important data point for validating or invalidating the operating income recovery thesis</w:t>
      </w:r>
    </w:p>
    <w:p>
      <w:pPr>
        <w:pStyle w:val="ListBullet"/>
      </w:pPr>
      <w:r>
        <w:t>Lapping analysis for Chickenjoy Sarap Savers value platform — the platform contributed 8% of Q1 2026 Philippines SWS (Php 3Bn), but the launch date and prior-year comparable are not disclosed, making it impossible to quantify the comp drag when this laps</w:t>
      </w:r>
    </w:p>
    <w:p>
      <w:pPr>
        <w:pStyle w:val="ListBullet"/>
      </w:pPr>
      <w:r>
        <w:t>Smashburger standalone P&amp;L — the COO-to-FR conversion investment of Php 1.3Bn is disclosed but the current Smashburger operating income contribution (positive or negative) is not, making it impossible to assess whether the conversion is accretive or dilutive to near-term earnings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before="0" w:after="40" w:line="276" w:lineRule="auto"/>
    </w:pPr>
    <w:rPr>
      <w:rFonts w:ascii="Calibri" w:hAnsi="Calibri"/>
      <w:b/>
      <w:i w:val="0"/>
      <w:color w:val="0F2A4E"/>
      <w:sz w:val="40"/>
    </w:rPr>
  </w:style>
  <w:style w:type="paragraph" w:customStyle="1" w:styleId="SectionHeading">
    <w:name w:val="SectionHeading"/>
    <w:pPr>
      <w:spacing w:before="280" w:after="80" w:line="276" w:lineRule="auto"/>
    </w:pPr>
    <w:rPr>
      <w:rFonts w:ascii="Calibri" w:hAnsi="Calibri"/>
      <w:b/>
      <w:i w:val="0"/>
      <w:color w:val="0F2A4E"/>
      <w:sz w:val="28"/>
    </w:rPr>
  </w:style>
  <w:style w:type="paragraph" w:customStyle="1" w:styleId="SubHeading">
    <w:name w:val="SubHeading"/>
    <w:pPr>
      <w:spacing w:before="120" w:after="40" w:line="276" w:lineRule="auto"/>
    </w:pPr>
    <w:rPr>
      <w:rFonts w:ascii="Calibri" w:hAnsi="Calibri"/>
      <w:b/>
      <w:i w:val="0"/>
      <w:color w:val="334B6B"/>
      <w:sz w:val="22"/>
    </w:rPr>
  </w:style>
  <w:style w:type="paragraph" w:customStyle="1" w:styleId="PullQuote">
    <w:name w:val="PullQuote"/>
    <w:pPr>
      <w:spacing w:before="80" w:after="120" w:line="276" w:lineRule="auto"/>
      <w:ind w:left="432"/>
    </w:pPr>
    <w:rPr>
      <w:rFonts w:ascii="Calibri" w:hAnsi="Calibri"/>
      <w:b w:val="0"/>
      <w:i/>
      <w:color w:val="555555"/>
      <w:sz w:val="21"/>
    </w:rPr>
  </w:style>
  <w:style w:type="paragraph" w:customStyle="1" w:styleId="KillCriteria">
    <w:name w:val="KillCriteria"/>
    <w:pPr>
      <w:spacing w:before="120" w:after="120" w:line="276" w:lineRule="auto"/>
    </w:pPr>
    <w:rPr>
      <w:rFonts w:ascii="Calibri" w:hAnsi="Calibri"/>
      <w:b/>
      <w:i w:val="0"/>
      <w:color w:val="8C1D40"/>
      <w:sz w:val="21"/>
    </w:rPr>
  </w:style>
  <w:style w:type="paragraph" w:customStyle="1" w:styleId="WarningBanner">
    <w:name w:val="WarningBanner"/>
    <w:pPr>
      <w:spacing w:before="80" w:after="80" w:line="276" w:lineRule="auto"/>
    </w:pPr>
    <w:rPr>
      <w:rFonts w:ascii="Calibri" w:hAnsi="Calibri"/>
      <w:b/>
      <w:i w:val="0"/>
      <w:color w:val="8C1D40"/>
      <w:sz w:val="22"/>
    </w:rPr>
  </w:style>
  <w:style w:type="paragraph" w:customStyle="1" w:styleId="ReportBullet">
    <w:name w:val="ReportBullet"/>
    <w:pPr>
      <w:spacing w:before="0" w:after="60" w:line="276" w:lineRule="auto"/>
    </w:pPr>
    <w:rPr>
      <w:rFonts w:ascii="Calibri" w:hAnsi="Calibri"/>
      <w:b w:val="0"/>
      <w:i w:val="0"/>
      <w:color w:val="1A1A1A"/>
      <w:sz w:val="21"/>
    </w:rPr>
  </w:style>
  <w:style w:type="paragraph" w:customStyle="1" w:styleId="ReportCaption">
    <w:name w:val="ReportCaption"/>
    <w:pPr>
      <w:spacing w:before="40" w:after="40" w:line="276" w:lineRule="auto"/>
    </w:pPr>
    <w:rPr>
      <w:rFonts w:ascii="Calibri" w:hAnsi="Calibri"/>
      <w:b w:val="0"/>
      <w:i/>
      <w:color w:val="555555"/>
      <w:sz w:val="18"/>
    </w:rPr>
  </w:style>
  <w:style w:type="paragraph" w:customStyle="1" w:styleId="SmallMeta">
    <w:name w:val="SmallMeta"/>
    <w:pPr>
      <w:spacing w:before="0" w:after="80" w:line="276" w:lineRule="auto"/>
    </w:pPr>
    <w:rPr>
      <w:rFonts w:ascii="Calibri" w:hAnsi="Calibri"/>
      <w:b w:val="0"/>
      <w:i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