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LYV — LYV</w:t>
      </w:r>
    </w:p>
    <w:p>
      <w:pPr>
        <w:pStyle w:val="SmallMeta"/>
      </w:pPr>
      <w:r>
        <w:t>As of 2026-04-20  |  Schema: general  |  Data: polygon+alpha_vantage (FY2025)</w:t>
      </w:r>
    </w:p>
    <w:p>
      <w:pPr>
        <w:pStyle w:val="SubHeading"/>
      </w:pPr>
      <w:r>
        <w:rPr>
          <w:color w:val="8C1D40"/>
        </w:rPr>
        <w:t>Direction: LONG | Current: $156.47</w:t>
      </w:r>
    </w:p>
    <w:p>
      <w:pPr>
        <w:pStyle w:val="SubHeading"/>
      </w:pPr>
      <w:r>
        <w:t>Summary</w:t>
      </w:r>
    </w:p>
    <w:p>
      <w:pPr>
        <w:pStyle w:val="ListBullet"/>
      </w:pPr>
      <w:r>
        <w:t>Thesis: The street underestimates the structural margin expansion from Venue Nation scaling and overestimates ticketing headwinds. Management's double-digit AOI growth guidance for 2026 is achievable because venue-owned economics compound faster than consensus models, while ticketing secondary market headwinds are temporary and offset by primary market growth.</w:t>
      </w:r>
    </w:p>
    <w:p>
      <w:pPr>
        <w:pStyle w:val="ListBullet"/>
      </w:pPr>
      <w:r>
        <w:t>Next catalyst: Next quarterly earnings report (2026-05-07 (17 days))</w:t>
      </w:r>
    </w:p>
    <w:p>
      <w:pPr>
        <w:pStyle w:val="ListBullet"/>
      </w:pPr>
      <w:r>
        <w:t>Top risk: Bulls assume seamless venue mix optimization drives margin expansion</w:t>
      </w:r>
    </w:p>
    <w:p>
      <w:pPr>
        <w:pStyle w:val="SectionHeading"/>
      </w:pPr>
      <w:r>
        <w:t>1. Edge</w:t>
      </w:r>
    </w:p>
    <w:p>
      <w:r>
        <w:t>The street underestimates the structural margin expansion from Venue Nation scaling and overestimates ticketing headwinds. Management's double-digit AOI growth guidance for 2026 is achievable because venue-owned economics compound faster than consensus models, while ticketing secondary market headwinds are temporary and offset by primary market growth.</w:t>
      </w:r>
    </w:p>
    <w:p>
      <w:r>
        <w:t>Consensus appears anchored on historical ticketing growth rates without fully modeling the Venue Nation flywheel effect. In the Q4 2025 call, CFO Joe Berktold stated they're 'getting more fans into the Venue Nation buildings where we're counting the beer money and the parking and the other pieces' and expect 'double-digit growth in fans at our venues.' The street likely models ticketing as the primary growth driver but underweights the higher-margin venue operations that now drive 70+ million fans annually.</w:t>
      </w:r>
    </w:p>
    <w:p>
      <w:r>
        <w:t>The debate: The market is debating whether Live Nation can sustain double-digit growth amid venue mix shifts, regulatory pressures on ticketing, and potential consumer demand moderation. Consensus expects $2.23 EPS vs. reported -$0.24 diluted EPS, suggesting significant earnings acceleration.</w:t>
      </w:r>
    </w:p>
    <w:p>
      <w:pPr>
        <w:pStyle w:val="SubHeading"/>
      </w:pPr>
      <w:r>
        <w:t>What consensus assumes:</w:t>
      </w:r>
    </w:p>
    <w:p>
      <w:pPr>
        <w:pStyle w:val="ListBullet"/>
      </w:pPr>
      <w:r>
        <w:t>revenue_growth: Street likely assumes mid-single digit revenue growth driven primarily by ticketing volume recovery, potentially underweighting venue-owned revenue streams that have higher margins and pricing power</w:t>
      </w:r>
    </w:p>
    <w:p>
      <w:pPr>
        <w:pStyle w:val="ListBullet"/>
      </w:pPr>
      <w:r>
        <w:t>margin_expansion: Consensus probably models modest margin improvement, missing the compounding effect of Venue Nation scale where each additional fan generates parking, concessions, and premium experience revenue</w:t>
      </w:r>
    </w:p>
    <w:p>
      <w:pPr>
        <w:pStyle w:val="SubHeading"/>
      </w:pPr>
      <w:r>
        <w:t>Where we differ from guidance:</w:t>
      </w:r>
    </w:p>
    <w:p>
      <w:pPr>
        <w:pStyle w:val="ListBullet"/>
      </w:pPr>
      <w:r>
        <w:t>aoi_growth: Management guides double-digit AOI growth for 2026 with high confidence, citing 80% of large venue shows booked and sponsorship 70% sold at double-digit rates. We align with this guidance because the revenue visibility is unusually high and margin drivers (Venue Nation scaling) are accelerating rather than decelerating.</w:t>
      </w:r>
    </w:p>
    <w:p>
      <w:r>
        <w:t>Management tone shift in a recent call: Q4 2025: First time guiding double-digit growth for following year, shifted from managing venue mix concerns to growth acceleration</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 Growth</w:t>
            </w:r>
          </w:p>
        </w:tc>
        <w:tc>
          <w:tcPr>
            <w:tcW w:type="dxa" w:w="2448"/>
            <w:tcBorders>
              <w:top w:val="single" w:sz="4" w:color="BDC3C7"/>
              <w:bottom w:val="single" w:sz="4" w:color="BDC3C7"/>
              <w:left w:val="single" w:sz="4" w:color="BDC3C7"/>
              <w:right w:val="single" w:sz="4" w:color="BDC3C7"/>
            </w:tcBorders>
          </w:tcPr>
          <w:p>
            <w:r>
              <w:rPr>
                <w:b/>
              </w:rPr>
              <w:t>+21.00%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concerts_segment_growth</w:t>
            </w:r>
          </w:p>
        </w:tc>
        <w:tc>
          <w:tcPr>
            <w:tcW w:type="dxa" w:w="2448"/>
            <w:tcBorders>
              <w:top w:val="single" w:sz="4" w:color="BDC3C7"/>
              <w:bottom w:val="single" w:sz="4" w:color="BDC3C7"/>
              <w:left w:val="single" w:sz="4" w:color="BDC3C7"/>
              <w:right w:val="single" w:sz="4" w:color="BDC3C7"/>
            </w:tcBorders>
          </w:tcPr>
          <w:p>
            <w:r>
              <w:t>+8.00%</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Management guided double-digit AOI growth with 80% of 2026 large venue shows already booked, pacing up high-single digits globally and up double-digits in North</w:t>
            </w:r>
          </w:p>
        </w:tc>
      </w:tr>
      <w:tr>
        <w:tc>
          <w:tcPr>
            <w:tcW w:type="dxa" w:w="2448"/>
            <w:tcBorders>
              <w:top w:val="single" w:sz="4" w:color="BDC3C7"/>
              <w:bottom w:val="single" w:sz="4" w:color="BDC3C7"/>
              <w:left w:val="single" w:sz="4" w:color="BDC3C7"/>
              <w:right w:val="single" w:sz="4" w:color="BDC3C7"/>
            </w:tcBorders>
          </w:tcPr>
          <w:p>
            <w:r>
              <w:t xml:space="preserve">    ticketing_segment_growth</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CFO stated 'we're not expecting a lot out of it this year. We've got some underlying mid-single digit growth. We've got some one-time headwinds on secondary.' H</w:t>
            </w:r>
          </w:p>
        </w:tc>
      </w:tr>
      <w:tr>
        <w:tc>
          <w:tcPr>
            <w:tcW w:type="dxa" w:w="2448"/>
            <w:tcBorders>
              <w:top w:val="single" w:sz="4" w:color="BDC3C7"/>
              <w:bottom w:val="single" w:sz="4" w:color="BDC3C7"/>
              <w:left w:val="single" w:sz="4" w:color="BDC3C7"/>
              <w:right w:val="single" w:sz="4" w:color="BDC3C7"/>
            </w:tcBorders>
          </w:tcPr>
          <w:p>
            <w:r>
              <w:t xml:space="preserve">    sponsorship_segment_growth</w:t>
            </w:r>
          </w:p>
        </w:tc>
        <w:tc>
          <w:tcPr>
            <w:tcW w:type="dxa" w:w="2448"/>
            <w:tcBorders>
              <w:top w:val="single" w:sz="4" w:color="BDC3C7"/>
              <w:bottom w:val="single" w:sz="4" w:color="BDC3C7"/>
              <w:left w:val="single" w:sz="4" w:color="BDC3C7"/>
              <w:right w:val="single" w:sz="4" w:color="BDC3C7"/>
            </w:tcBorders>
          </w:tcPr>
          <w:p>
            <w:r>
              <w:t>+11.00%</w:t>
            </w:r>
          </w:p>
        </w:tc>
        <w:tc>
          <w:tcPr>
            <w:tcW w:type="dxa" w:w="2448"/>
            <w:tcBorders>
              <w:top w:val="single" w:sz="4" w:color="BDC3C7"/>
              <w:bottom w:val="single" w:sz="4" w:color="BDC3C7"/>
              <w:left w:val="single" w:sz="4" w:color="BDC3C7"/>
              <w:right w:val="single" w:sz="4" w:color="BDC3C7"/>
            </w:tcBorders>
          </w:tcPr>
          <w:p>
            <w:r>
              <w:t>0.80</w:t>
            </w:r>
          </w:p>
        </w:tc>
        <w:tc>
          <w:tcPr>
            <w:tcW w:type="dxa" w:w="2448"/>
            <w:tcBorders>
              <w:top w:val="single" w:sz="4" w:color="BDC3C7"/>
              <w:bottom w:val="single" w:sz="4" w:color="BDC3C7"/>
              <w:left w:val="single" w:sz="4" w:color="BDC3C7"/>
              <w:right w:val="single" w:sz="4" w:color="BDC3C7"/>
            </w:tcBorders>
          </w:tcPr>
          <w:p>
            <w:r>
              <w:t>Management has highest confidence here, stating 'sponsorship, straightforward. Expect it to continue to be up double digits AOI this year. We're over 70% booked</w:t>
            </w:r>
          </w:p>
        </w:tc>
      </w:tr>
    </w:tbl>
    <w:p>
      <w:pPr>
        <w:pStyle w:val="SubHeading"/>
      </w:pPr>
      <w:r>
        <w:t>Bear revisions:</w:t>
      </w:r>
    </w:p>
    <w:p>
      <w:pPr>
        <w:pStyle w:val="ListBullet"/>
      </w:pPr>
      <w:r>
        <w:t>Revenue Growth.ticketing_segment_growth: 6.0 → 2.0 — If regulatory pressures intensify or secondary market headwinds persist longer than 'one-time' as management suggests, ticketing could underperform the underlying mid-single digit growth CFO mentioned</w:t>
      </w:r>
    </w:p>
    <w:p>
      <w:pPr>
        <w:pStyle w:val="ListBullet"/>
      </w:pPr>
      <w:r>
        <w:t>Revenue Growth.concerts_segment_growth: 12.0 → 8.0 — Despite strong bookings, if venue mix shifts unfavorably (fewer high-margin stadium shows, more lower-margin amphitheater shows) or if consumer demand moderates, concerts growth could decelerate from double-digit levels</w:t>
      </w:r>
    </w:p>
    <w:p>
      <w:pPr>
        <w:pStyle w:val="SectionHeading"/>
      </w:pPr>
      <w:r>
        <w:t>3. Consensus Gap &amp; Valuation</w:t>
      </w:r>
    </w:p>
    <w:p>
      <w:r>
        <w:t>Our estimate: EPS $2.67 vs. consensus $2.23 ($0.44 / 19.6% above).</w:t>
      </w:r>
    </w:p>
    <w:p>
      <w:r>
        <w:t>Our estimate is $0.44 (19.6%) above consensus $2.23. Primary driver: Revenue Growth.ticketing_segment_growth (ours +2.0 vs street +18.5, contributing $-2.812 to EPS variant, evidence: moderate). Variant appears NOT fully priced in based on available market data. Next catalyst: Next quarterly earnings report (2026-05-07 (17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 Growth.ticketing_segment_growth</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+18.54</w:t>
            </w:r>
          </w:p>
        </w:tc>
        <w:tc>
          <w:tcPr>
            <w:tcW w:type="dxa" w:w="1958"/>
            <w:tcBorders>
              <w:top w:val="single" w:sz="4" w:color="BDC3C7"/>
              <w:bottom w:val="single" w:sz="4" w:color="BDC3C7"/>
              <w:left w:val="single" w:sz="4" w:color="BDC3C7"/>
              <w:right w:val="single" w:sz="4" w:color="BDC3C7"/>
            </w:tcBorders>
          </w:tcPr>
          <w:p>
            <w:r>
              <w:t>-2.812</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Revenue Growth.concerts_segment_growth</w:t>
            </w:r>
          </w:p>
        </w:tc>
        <w:tc>
          <w:tcPr>
            <w:tcW w:type="dxa" w:w="1958"/>
            <w:tcBorders>
              <w:top w:val="single" w:sz="4" w:color="BDC3C7"/>
              <w:bottom w:val="single" w:sz="4" w:color="BDC3C7"/>
              <w:left w:val="single" w:sz="4" w:color="BDC3C7"/>
              <w:right w:val="single" w:sz="4" w:color="BDC3C7"/>
            </w:tcBorders>
          </w:tcPr>
          <w:p>
            <w:r>
              <w:t>+8.00</w:t>
            </w:r>
          </w:p>
        </w:tc>
        <w:tc>
          <w:tcPr>
            <w:tcW w:type="dxa" w:w="1958"/>
            <w:tcBorders>
              <w:top w:val="single" w:sz="4" w:color="BDC3C7"/>
              <w:bottom w:val="single" w:sz="4" w:color="BDC3C7"/>
              <w:left w:val="single" w:sz="4" w:color="BDC3C7"/>
              <w:right w:val="single" w:sz="4" w:color="BDC3C7"/>
            </w:tcBorders>
          </w:tcPr>
          <w:p>
            <w:r>
              <w:t>+18.54</w:t>
            </w:r>
          </w:p>
        </w:tc>
        <w:tc>
          <w:tcPr>
            <w:tcW w:type="dxa" w:w="1958"/>
            <w:tcBorders>
              <w:top w:val="single" w:sz="4" w:color="BDC3C7"/>
              <w:bottom w:val="single" w:sz="4" w:color="BDC3C7"/>
              <w:left w:val="single" w:sz="4" w:color="BDC3C7"/>
              <w:right w:val="single" w:sz="4" w:color="BDC3C7"/>
            </w:tcBorders>
          </w:tcPr>
          <w:p>
            <w:r>
              <w:t>-1.792</w:t>
            </w:r>
          </w:p>
        </w:tc>
        <w:tc>
          <w:tcPr>
            <w:tcW w:type="dxa" w:w="1958"/>
            <w:tcBorders>
              <w:top w:val="single" w:sz="4" w:color="BDC3C7"/>
              <w:bottom w:val="single" w:sz="4" w:color="BDC3C7"/>
              <w:left w:val="single" w:sz="4" w:color="BDC3C7"/>
              <w:right w:val="single" w:sz="4" w:color="BDC3C7"/>
            </w:tcBorders>
          </w:tcPr>
          <w:p>
            <w:r>
              <w:t>0.65</w:t>
            </w:r>
          </w:p>
        </w:tc>
      </w:tr>
      <w:tr>
        <w:tc>
          <w:tcPr>
            <w:tcW w:type="dxa" w:w="1958"/>
            <w:tcBorders>
              <w:top w:val="single" w:sz="4" w:color="BDC3C7"/>
              <w:bottom w:val="single" w:sz="4" w:color="BDC3C7"/>
              <w:left w:val="single" w:sz="4" w:color="BDC3C7"/>
              <w:right w:val="single" w:sz="4" w:color="BDC3C7"/>
            </w:tcBorders>
          </w:tcPr>
          <w:p>
            <w:r>
              <w:t>Revenue Growth.sponsorship_segment_growth</w:t>
            </w:r>
          </w:p>
        </w:tc>
        <w:tc>
          <w:tcPr>
            <w:tcW w:type="dxa" w:w="1958"/>
            <w:tcBorders>
              <w:top w:val="single" w:sz="4" w:color="BDC3C7"/>
              <w:bottom w:val="single" w:sz="4" w:color="BDC3C7"/>
              <w:left w:val="single" w:sz="4" w:color="BDC3C7"/>
              <w:right w:val="single" w:sz="4" w:color="BDC3C7"/>
            </w:tcBorders>
          </w:tcPr>
          <w:p>
            <w:r>
              <w:t>+11.00</w:t>
            </w:r>
          </w:p>
        </w:tc>
        <w:tc>
          <w:tcPr>
            <w:tcW w:type="dxa" w:w="1958"/>
            <w:tcBorders>
              <w:top w:val="single" w:sz="4" w:color="BDC3C7"/>
              <w:bottom w:val="single" w:sz="4" w:color="BDC3C7"/>
              <w:left w:val="single" w:sz="4" w:color="BDC3C7"/>
              <w:right w:val="single" w:sz="4" w:color="BDC3C7"/>
            </w:tcBorders>
          </w:tcPr>
          <w:p>
            <w:r>
              <w:t>+18.54</w:t>
            </w:r>
          </w:p>
        </w:tc>
        <w:tc>
          <w:tcPr>
            <w:tcW w:type="dxa" w:w="1958"/>
            <w:tcBorders>
              <w:top w:val="single" w:sz="4" w:color="BDC3C7"/>
              <w:bottom w:val="single" w:sz="4" w:color="BDC3C7"/>
              <w:left w:val="single" w:sz="4" w:color="BDC3C7"/>
              <w:right w:val="single" w:sz="4" w:color="BDC3C7"/>
            </w:tcBorders>
          </w:tcPr>
          <w:p>
            <w:r>
              <w:t>-1.282</w:t>
            </w:r>
          </w:p>
        </w:tc>
        <w:tc>
          <w:tcPr>
            <w:tcW w:type="dxa" w:w="1958"/>
            <w:tcBorders>
              <w:top w:val="single" w:sz="4" w:color="BDC3C7"/>
              <w:bottom w:val="single" w:sz="4" w:color="BDC3C7"/>
              <w:left w:val="single" w:sz="4" w:color="BDC3C7"/>
              <w:right w:val="single" w:sz="4" w:color="BDC3C7"/>
            </w:tcBorders>
          </w:tcPr>
          <w:p>
            <w:r>
              <w:t>0.70</w:t>
            </w:r>
          </w:p>
        </w:tc>
      </w:tr>
    </w:tbl>
    <w:p>
      <w:r>
        <w:t>Priced in: not fully — Variant (+19.6%) exceeds implied move (2.3%). Short interest 13.0% supports</w:t>
      </w:r>
    </w:p>
    <w:p>
      <w:r>
        <w:t>Edge verdict: ACTIONABLE_EDGE (score 0.284).</w:t>
      </w:r>
    </w:p>
    <w:p>
      <w:pPr>
        <w:pStyle w:val="SectionHeading"/>
      </w:pPr>
      <w:r>
        <w:t>4. Catalysts</w:t>
      </w:r>
    </w:p>
    <w:p>
      <w:pPr>
        <w:pStyle w:val="ListBullet"/>
      </w:pPr>
      <w:r>
        <w:t>Next quarterly earnings report (2026-05-07 (17 days)) — resolves revenue + margins + guidance; confirms or challenges</w:t>
      </w:r>
    </w:p>
    <w:p>
      <w:pPr>
        <w:pStyle w:val="ListBullet"/>
      </w:pPr>
      <w:r>
        <w:t>Resolution: Bulls assume seamless venue mix optimization drives margin expansion (Multi-year thesis -- patience required) — resolves Revenue Growth; confirms or challenges</w:t>
      </w:r>
    </w:p>
    <w:p>
      <w:pPr>
        <w:pStyle w:val="ListBullet"/>
      </w:pPr>
      <w:r>
        <w:t>Resolution: Ticketing regulatory pressures are temporary and manageable (Multi-year thesis -- patience required) — resolves Revenue Growth; confirms or challenges</w:t>
      </w:r>
    </w:p>
    <w:p>
      <w:pPr>
        <w:pStyle w:val="ListBullet"/>
      </w:pPr>
      <w:r>
        <w:t>Specific venue opening timeline and capacity additions for Venue Nation in 2026 (Unknown timing) — resolves multiple; resolves uncertainty</w:t>
      </w:r>
    </w:p>
    <w:p>
      <w:pPr>
        <w:pStyle w:val="ListBullet"/>
      </w:pPr>
      <w:r>
        <w:t>Detailed breakdown of ticketing fee structure changes due to regulatory requirements (Unknown timing) — resolves multiple; resolves uncertainty</w:t>
      </w:r>
    </w:p>
    <w:p>
      <w:pPr>
        <w:pStyle w:val="SectionHeading"/>
      </w:pPr>
      <w:r>
        <w:t>5. Risks, Blind Spots &amp; Kill Criteria</w:t>
      </w:r>
    </w:p>
    <w:p>
      <w:pPr>
        <w:pStyle w:val="SubHeading"/>
      </w:pPr>
      <w:r>
        <w:t>Top risks:</w:t>
      </w:r>
    </w:p>
    <w:p>
      <w:pPr>
        <w:pStyle w:val="ListBullet"/>
      </w:pPr>
      <w:r>
        <w:t>Bulls assume seamless venue mix optimization drives margin expansion — counter: In Q3 2025 call, management acknowledged 'we had a few less amphitheater shows' and noted venue type rotation as normal: 'sometimes Europe over delivers and America under delivers. Sometimes the amps are having a record year. Sometimes the stadiums are having a record year.' This suggests venue mix is less controllable than bulls assume. [moderate]</w:t>
      </w:r>
    </w:p>
    <w:p>
      <w:pPr>
        <w:pStyle w:val="ListBullet"/>
      </w:pPr>
      <w:r>
        <w:t>Ticketing regulatory pressures are temporary and manageable — counter: The company faces ongoing DOJ antitrust scrutiny and multiple regulatory initiatives including the BOTS Act enforcement and Ticket Act. CFO noted 'one-time headwinds on secondary' but regulatory pressure could persist longer than management suggests, potentially capping fee growth. [moderate]</w:t>
      </w:r>
    </w:p>
    <w:p>
      <w:pPr>
        <w:pStyle w:val="KillCriteria"/>
      </w:pPr>
      <w:r>
        <w:t>What would change our mind: Print on Revenue Growth.ticketing_segment_growth comes in above our +2.0 figure (toward street +18.5) in the next 1-2 prints.</w:t>
      </w:r>
    </w:p>
    <w:p>
      <w:pPr>
        <w:pStyle w:val="SectionHeading"/>
      </w:pPr>
      <w:r>
        <w:t>Appendix</w:t>
      </w:r>
    </w:p>
    <w:p>
      <w:pPr>
        <w:pStyle w:val="SubHeading"/>
      </w:pPr>
      <w:r>
        <w:t>Business context:</w:t>
      </w:r>
    </w:p>
    <w:p>
      <w:r>
        <w:t>Live Nation is the world's leading live entertainment company, operating concert venues (amphitheaters, arenas, stadiums), promoting concerts, and ticketing through Ticketmaster. The company makes money through three segments: Concerts (promoting shows and venue operations), Sponsorship &amp; Advertising (brand partnerships), and Ticketing (fees and commissions).</w:t>
      </w:r>
    </w:p>
    <w:p>
      <w:pPr>
        <w:pStyle w:val="SubHeading"/>
      </w:pPr>
      <w:r>
        <w:t>Evidence gaps (research TODO):</w:t>
      </w:r>
    </w:p>
    <w:p>
      <w:pPr>
        <w:pStyle w:val="ListBullet"/>
      </w:pPr>
      <w:r>
        <w:t>Specific venue opening timeline and capacity additions for Venue Nation in 2026</w:t>
      </w:r>
    </w:p>
    <w:p>
      <w:pPr>
        <w:pStyle w:val="ListBullet"/>
      </w:pPr>
      <w:r>
        <w:t>Detailed breakdown of ticketing fee structure changes due to regulatory requirements</w:t>
      </w:r>
    </w:p>
    <w:p>
      <w:pPr>
        <w:pStyle w:val="ListBullet"/>
      </w:pPr>
      <w:r>
        <w:t>International concert booking pace beyond the high-level 'up high-single digits globally' guidance</w:t>
      </w:r>
    </w:p>
    <w:p>
      <w:pPr>
        <w:pStyle w:val="ListBullet"/>
      </w:pPr>
      <w:r>
        <w:t>Quantified impact of secondary market headwinds on total ticketing revenue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