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LYV — LYV</w:t>
      </w:r>
    </w:p>
    <w:p>
      <w:pPr>
        <w:pStyle w:val="SmallMeta"/>
      </w:pPr>
      <w:r>
        <w:t>As of 2026-04-22  |  Schema: general  |  Data: polygon+alpha_vantage (FY2025)</w:t>
      </w:r>
    </w:p>
    <w:p>
      <w:pPr>
        <w:pStyle w:val="SubHeading"/>
      </w:pPr>
      <w:r>
        <w:rPr>
          <w:color w:val="8C1D40"/>
        </w:rPr>
        <w:t>Direction: SHORT | Current: $153.25</w:t>
      </w:r>
    </w:p>
    <w:p>
      <w:pPr>
        <w:pStyle w:val="SubHeading"/>
      </w:pPr>
      <w:r>
        <w:t>Summary</w:t>
      </w:r>
    </w:p>
    <w:p>
      <w:pPr>
        <w:pStyle w:val="ListBullet"/>
      </w:pPr>
      <w:r>
        <w:t>Thesis: Street underestimates the structural margin expansion from Venue Nation's accelerating fan growth and per-fan monetization, while overestimating the impact of secondary ticketing headwinds that management characterized as 'one-time' issues rather than structural problems.</w:t>
      </w:r>
    </w:p>
    <w:p>
      <w:pPr>
        <w:pStyle w:val="ListBullet"/>
      </w:pPr>
      <w:r>
        <w:t>Next catalyst: Next quarterly earnings report (2026-05-05 (13 days))</w:t>
      </w:r>
    </w:p>
    <w:p>
      <w:pPr>
        <w:pStyle w:val="ListBullet"/>
      </w:pPr>
      <w:r>
        <w:t>Top risk: Bull case assumes seamless execution of double-digit AOI growth across all segments</w:t>
      </w:r>
    </w:p>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$-0.33</w:t>
            </w:r>
          </w:p>
        </w:tc>
        <w:tc>
          <w:tcPr>
            <w:tcW w:type="dxa" w:w="1399"/>
            <w:tcBorders>
              <w:top w:val="single" w:sz="4" w:color="BDC3C7"/>
              <w:bottom w:val="single" w:sz="4" w:color="BDC3C7"/>
              <w:left w:val="single" w:sz="4" w:color="BDC3C7"/>
              <w:right w:val="single" w:sz="4" w:color="BDC3C7"/>
            </w:tcBorders>
          </w:tcPr>
          <w:p>
            <w:r>
              <w:t>$-0.61 – $-0.06</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-3.9%</w:t>
            </w:r>
          </w:p>
        </w:tc>
        <w:tc>
          <w:tcPr>
            <w:tcW w:type="dxa" w:w="1399"/>
            <w:tcBorders>
              <w:top w:val="single" w:sz="4" w:color="BDC3C7"/>
              <w:bottom w:val="single" w:sz="4" w:color="BDC3C7"/>
              <w:left w:val="single" w:sz="4" w:color="BDC3C7"/>
              <w:right w:val="single" w:sz="4" w:color="BDC3C7"/>
            </w:tcBorders>
          </w:tcPr>
          <w:p>
            <w:r>
              <w:t>↑ +0.009</w:t>
            </w:r>
          </w:p>
        </w:tc>
        <w:tc>
          <w:tcPr>
            <w:tcW w:type="dxa" w:w="1399"/>
            <w:tcBorders>
              <w:top w:val="single" w:sz="4" w:color="BDC3C7"/>
              <w:bottom w:val="single" w:sz="4" w:color="BDC3C7"/>
              <w:left w:val="single" w:sz="4" w:color="BDC3C7"/>
              <w:right w:val="single" w:sz="4" w:color="BDC3C7"/>
            </w:tcBorders>
          </w:tcPr>
          <w:p>
            <w:r>
              <w:t>↑1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$0.98</w:t>
            </w:r>
          </w:p>
        </w:tc>
        <w:tc>
          <w:tcPr>
            <w:tcW w:type="dxa" w:w="1399"/>
            <w:tcBorders>
              <w:top w:val="single" w:sz="4" w:color="BDC3C7"/>
              <w:bottom w:val="single" w:sz="4" w:color="BDC3C7"/>
              <w:left w:val="single" w:sz="4" w:color="BDC3C7"/>
              <w:right w:val="single" w:sz="4" w:color="BDC3C7"/>
            </w:tcBorders>
          </w:tcPr>
          <w:p>
            <w:r>
              <w:t>$0.75 – $1.32</w:t>
            </w:r>
          </w:p>
        </w:tc>
        <w:tc>
          <w:tcPr>
            <w:tcW w:type="dxa" w:w="1399"/>
            <w:tcBorders>
              <w:top w:val="single" w:sz="4" w:color="BDC3C7"/>
              <w:bottom w:val="single" w:sz="4" w:color="BDC3C7"/>
              <w:left w:val="single" w:sz="4" w:color="BDC3C7"/>
              <w:right w:val="single" w:sz="4" w:color="BDC3C7"/>
            </w:tcBorders>
          </w:tcPr>
          <w:p>
            <w:r>
              <w:t>11</w:t>
            </w:r>
          </w:p>
        </w:tc>
        <w:tc>
          <w:tcPr>
            <w:tcW w:type="dxa" w:w="1399"/>
            <w:tcBorders>
              <w:top w:val="single" w:sz="4" w:color="BDC3C7"/>
              <w:bottom w:val="single" w:sz="4" w:color="BDC3C7"/>
              <w:left w:val="single" w:sz="4" w:color="BDC3C7"/>
              <w:right w:val="single" w:sz="4" w:color="BDC3C7"/>
            </w:tcBorders>
          </w:tcPr>
          <w:p>
            <w:r>
              <w:t>+139.3%</w:t>
            </w:r>
          </w:p>
        </w:tc>
        <w:tc>
          <w:tcPr>
            <w:tcW w:type="dxa" w:w="1399"/>
            <w:tcBorders>
              <w:top w:val="single" w:sz="4" w:color="BDC3C7"/>
              <w:bottom w:val="single" w:sz="4" w:color="BDC3C7"/>
              <w:left w:val="single" w:sz="4" w:color="BDC3C7"/>
              <w:right w:val="single" w:sz="4" w:color="BDC3C7"/>
            </w:tcBorders>
          </w:tcPr>
          <w:p>
            <w:r>
              <w:t>↓ -0.014</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$1.56</w:t>
            </w:r>
          </w:p>
        </w:tc>
        <w:tc>
          <w:tcPr>
            <w:tcW w:type="dxa" w:w="1399"/>
            <w:tcBorders>
              <w:top w:val="single" w:sz="4" w:color="BDC3C7"/>
              <w:bottom w:val="single" w:sz="4" w:color="BDC3C7"/>
              <w:left w:val="single" w:sz="4" w:color="BDC3C7"/>
              <w:right w:val="single" w:sz="4" w:color="BDC3C7"/>
            </w:tcBorders>
          </w:tcPr>
          <w:p>
            <w:r>
              <w:t>$0.80 – $2.39</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+750.4%</w:t>
            </w:r>
          </w:p>
        </w:tc>
        <w:tc>
          <w:tcPr>
            <w:tcW w:type="dxa" w:w="1399"/>
            <w:tcBorders>
              <w:top w:val="single" w:sz="4" w:color="BDC3C7"/>
              <w:bottom w:val="single" w:sz="4" w:color="BDC3C7"/>
              <w:left w:val="single" w:sz="4" w:color="BDC3C7"/>
              <w:right w:val="single" w:sz="4" w:color="BDC3C7"/>
            </w:tcBorders>
          </w:tcPr>
          <w:p>
            <w:r>
              <w:t>↑ +0.065</w:t>
            </w:r>
          </w:p>
        </w:tc>
        <w:tc>
          <w:tcPr>
            <w:tcW w:type="dxa" w:w="1399"/>
            <w:tcBorders>
              <w:top w:val="single" w:sz="4" w:color="BDC3C7"/>
              <w:bottom w:val="single" w:sz="4" w:color="BDC3C7"/>
              <w:left w:val="single" w:sz="4" w:color="BDC3C7"/>
              <w:right w:val="single" w:sz="4" w:color="BDC3C7"/>
            </w:tcBorders>
          </w:tcPr>
          <w:p>
            <w:r>
              <w:t>↑1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$2.23</w:t>
            </w:r>
          </w:p>
        </w:tc>
        <w:tc>
          <w:tcPr>
            <w:tcW w:type="dxa" w:w="1399"/>
            <w:tcBorders>
              <w:top w:val="single" w:sz="4" w:color="BDC3C7"/>
              <w:bottom w:val="single" w:sz="4" w:color="BDC3C7"/>
              <w:left w:val="single" w:sz="4" w:color="BDC3C7"/>
              <w:right w:val="single" w:sz="4" w:color="BDC3C7"/>
            </w:tcBorders>
          </w:tcPr>
          <w:p>
            <w:r>
              <w:t>$1.26 – $3.66</w:t>
            </w:r>
          </w:p>
        </w:tc>
        <w:tc>
          <w:tcPr>
            <w:tcW w:type="dxa" w:w="1399"/>
            <w:tcBorders>
              <w:top w:val="single" w:sz="4" w:color="BDC3C7"/>
              <w:bottom w:val="single" w:sz="4" w:color="BDC3C7"/>
              <w:left w:val="single" w:sz="4" w:color="BDC3C7"/>
              <w:right w:val="single" w:sz="4" w:color="BDC3C7"/>
            </w:tcBorders>
          </w:tcPr>
          <w:p>
            <w:r>
              <w:t>14</w:t>
            </w:r>
          </w:p>
        </w:tc>
        <w:tc>
          <w:tcPr>
            <w:tcW w:type="dxa" w:w="1399"/>
            <w:tcBorders>
              <w:top w:val="single" w:sz="4" w:color="BDC3C7"/>
              <w:bottom w:val="single" w:sz="4" w:color="BDC3C7"/>
              <w:left w:val="single" w:sz="4" w:color="BDC3C7"/>
              <w:right w:val="single" w:sz="4" w:color="BDC3C7"/>
            </w:tcBorders>
          </w:tcPr>
          <w:p>
            <w:r>
              <w:t>+43.0%</w:t>
            </w:r>
          </w:p>
        </w:tc>
        <w:tc>
          <w:tcPr>
            <w:tcW w:type="dxa" w:w="1399"/>
            <w:tcBorders>
              <w:top w:val="single" w:sz="4" w:color="BDC3C7"/>
              <w:bottom w:val="single" w:sz="4" w:color="BDC3C7"/>
              <w:left w:val="single" w:sz="4" w:color="BDC3C7"/>
              <w:right w:val="single" w:sz="4" w:color="BDC3C7"/>
            </w:tcBorders>
          </w:tcPr>
          <w:p>
            <w:r>
              <w:t>↓ -0.037</w:t>
            </w:r>
          </w:p>
        </w:tc>
        <w:tc>
          <w:tcPr>
            <w:tcW w:type="dxa" w:w="1399"/>
            <w:tcBorders>
              <w:top w:val="single" w:sz="4" w:color="BDC3C7"/>
              <w:bottom w:val="single" w:sz="4" w:color="BDC3C7"/>
              <w:left w:val="single" w:sz="4" w:color="BDC3C7"/>
              <w:right w:val="single" w:sz="4" w:color="BDC3C7"/>
            </w:tcBorders>
          </w:tcPr>
          <w:p>
            <w:r>
              <w:t>↑1 / ↓2</w:t>
            </w:r>
          </w:p>
        </w:tc>
      </w:tr>
    </w:tbl>
    <w:p>
      <w:r>
        <w:t>Revenue consensus: Q $3.61B (+6.8%)  |  Q+1 $7.65B (+9.2%)  |  FY $27.49B (+9.1%)  |  FY+1 $30.04B (+9.3%)</w:t>
      </w:r>
    </w:p>
    <w:p>
      <w:r>
        <w:t>Price targets: Mean $183.30  |  Median $190.00  |  Range $140.00–$206.00  |  Current $153.00 (+19.8% to mean)</w:t>
      </w:r>
    </w:p>
    <w:p>
      <w:r>
        <w:t>Analyst ratings (n=24): Strong Buy 3 · Buy 17 · Hold 3 · Sell 1 · Strong Sell 0  ·  83% bullish</w:t>
      </w:r>
    </w:p>
    <w:p>
      <w:r>
        <w:t>Next earnings: 2026-05-05 (13d out)  ·  EPS $-0.33 ($-0.61–$-0.06)  ·  Rev $3.61B</w:t>
      </w:r>
    </w:p>
    <w:p>
      <w:pPr>
        <w:pStyle w:val="SectionHeading"/>
      </w:pPr>
      <w:r>
        <w:t>1. Edge</w:t>
      </w:r>
    </w:p>
    <w:p>
      <w:r>
        <w:t>Street underestimates the structural margin expansion from Venue Nation's accelerating fan growth and per-fan monetization, while overestimating the impact of secondary ticketing headwinds that management characterized as 'one-time' issues rather than structural problems.</w:t>
      </w:r>
    </w:p>
    <w:p>
      <w:r>
        <w:t>Consensus likely models Venue Nation as a steady-state business, missing that management raised fan count guidance from high-single digits to double-digits mid-2025 and expects continued margin accretion. The street may also be over-weighting the Q4 2025 secondary ticketing headwinds disclosure, which CFO Joe Berktold specifically called 'one-time' rather than ongoing structural issues. Management's 80% show booking rate for 2026 provides unusual forward visibility that consensus may not fully appreciate.</w:t>
      </w:r>
    </w:p>
    <w:p>
      <w:r>
        <w:t>The debate: The market is debating whether Live Nation can sustain double-digit AOI growth amid venue mix volatility (stadiums vs amphitheaters/arenas) and potential consumer demand softening. Analysts are particularly focused on margin sustainability as the business shifts between high-margin stadium years and more balanced venue mixes.</w:t>
      </w:r>
    </w:p>
    <w:p>
      <w:pPr>
        <w:pStyle w:val="SubHeading"/>
      </w:pPr>
      <w:r>
        <w:t>What consensus assumes:</w:t>
      </w:r>
    </w:p>
    <w:p>
      <w:pPr>
        <w:pStyle w:val="ListBullet"/>
      </w:pPr>
      <w:r>
        <w:t>revenue_growth_pct: Street likely assumes ~9% revenue growth based on their $27.5B consensus vs $25.2B FY2025 actual, probably modeling steady stadium activity without fully capturing the international stadium acceleration that management highlighted</w:t>
      </w:r>
    </w:p>
    <w:p>
      <w:pPr>
        <w:pStyle w:val="ListBullet"/>
      </w:pPr>
      <w:r>
        <w:t>cogs_delta_bps: Consensus probably models flat-to-slightly-higher cost of revenue margins, missing the venue mix benefit where owned venues (Venue Nation) carry higher margins than third-party venue shows</w:t>
      </w:r>
    </w:p>
    <w:p>
      <w:pPr>
        <w:pStyle w:val="ListBullet"/>
      </w:pPr>
      <w:r>
        <w:t>opex_delta_bps: Street likely assumes modest opex leverage, underestimating the margin expansion from double-digit Venue Nation fan growth and per-fan spend optimization that management emphasized</w:t>
      </w:r>
    </w:p>
    <w:p>
      <w:pPr>
        <w:pStyle w:val="SubHeading"/>
      </w:pPr>
      <w:r>
        <w:t>Where we differ from guidance:</w:t>
      </w:r>
    </w:p>
    <w:p>
      <w:pPr>
        <w:pStyle w:val="ListBullet"/>
      </w:pPr>
      <w:r>
        <w:t>revenue_growth_pct: Management guides double-digit AOI growth with 80% of 2026 shows booked and stadiums up double-digits internationally. Our 12% revenue growth aligns with their confidence, supported by specific booking metrics they disclosed</w:t>
      </w:r>
    </w:p>
    <w:p>
      <w:pPr>
        <w:pStyle w:val="ListBullet"/>
      </w:pPr>
      <w:r>
        <w:t>opex_delta_bps: Management expects margin accretion from Venue Nation expansion. We model -50bps opex improvement, more aggressive than street likely assumes but justified by their raised fan count guidance and per-fan monetization focus</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 Growth</w:t>
            </w:r>
          </w:p>
        </w:tc>
        <w:tc>
          <w:tcPr>
            <w:tcW w:type="dxa" w:w="2448"/>
            <w:tcBorders>
              <w:top w:val="single" w:sz="4" w:color="BDC3C7"/>
              <w:bottom w:val="single" w:sz="4" w:color="BDC3C7"/>
              <w:left w:val="single" w:sz="4" w:color="BDC3C7"/>
              <w:right w:val="single" w:sz="4" w:color="BDC3C7"/>
            </w:tcBorders>
          </w:tcPr>
          <w:p>
            <w:r>
              <w:rPr>
                <w:b/>
              </w:rPr>
              <w:t>+7.50%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stadium_volume_growth</w:t>
            </w:r>
          </w:p>
        </w:tc>
        <w:tc>
          <w:tcPr>
            <w:tcW w:type="dxa" w:w="2448"/>
            <w:tcBorders>
              <w:top w:val="single" w:sz="4" w:color="BDC3C7"/>
              <w:bottom w:val="single" w:sz="4" w:color="BDC3C7"/>
              <w:left w:val="single" w:sz="4" w:color="BDC3C7"/>
              <w:right w:val="single" w:sz="4" w:color="BDC3C7"/>
            </w:tcBorders>
          </w:tcPr>
          <w:p>
            <w:r>
              <w:t>+4.00%</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In the Q4 2025 call, CFO Joe Berktold stated 'stadiums are up double digits' and 'international being well up on stadiums, even after a banner growth last year.</w:t>
            </w:r>
          </w:p>
        </w:tc>
      </w:tr>
      <w:tr>
        <w:tc>
          <w:tcPr>
            <w:tcW w:type="dxa" w:w="2448"/>
            <w:tcBorders>
              <w:top w:val="single" w:sz="4" w:color="BDC3C7"/>
              <w:bottom w:val="single" w:sz="4" w:color="BDC3C7"/>
              <w:left w:val="single" w:sz="4" w:color="BDC3C7"/>
              <w:right w:val="single" w:sz="4" w:color="BDC3C7"/>
            </w:tcBorders>
          </w:tcPr>
          <w:p>
            <w:r>
              <w:t xml:space="preserve">    venue_nation_expansion</w:t>
            </w:r>
          </w:p>
        </w:tc>
        <w:tc>
          <w:tcPr>
            <w:tcW w:type="dxa" w:w="2448"/>
            <w:tcBorders>
              <w:top w:val="single" w:sz="4" w:color="BDC3C7"/>
              <w:bottom w:val="single" w:sz="4" w:color="BDC3C7"/>
              <w:left w:val="single" w:sz="4" w:color="BDC3C7"/>
              <w:right w:val="single" w:sz="4" w:color="BDC3C7"/>
            </w:tcBorders>
          </w:tcPr>
          <w:p>
            <w:r>
              <w:t>+1.50%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In the Q1 2025 call, CFO stated 'we're now expecting double-digit growth in fans at our venues' after raising guidance from high-single digits. Management empha</w:t>
            </w:r>
          </w:p>
        </w:tc>
      </w:tr>
      <w:tr>
        <w:tc>
          <w:tcPr>
            <w:tcW w:type="dxa" w:w="2448"/>
            <w:tcBorders>
              <w:top w:val="single" w:sz="4" w:color="BDC3C7"/>
              <w:bottom w:val="single" w:sz="4" w:color="BDC3C7"/>
              <w:left w:val="single" w:sz="4" w:color="BDC3C7"/>
              <w:right w:val="single" w:sz="4" w:color="BDC3C7"/>
            </w:tcBorders>
          </w:tcPr>
          <w:p>
            <w:r>
              <w:t xml:space="preserve">    sponsorship_growth</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0.80</w:t>
            </w:r>
          </w:p>
        </w:tc>
        <w:tc>
          <w:tcPr>
            <w:tcW w:type="dxa" w:w="2448"/>
            <w:tcBorders>
              <w:top w:val="single" w:sz="4" w:color="BDC3C7"/>
              <w:bottom w:val="single" w:sz="4" w:color="BDC3C7"/>
              <w:left w:val="single" w:sz="4" w:color="BDC3C7"/>
              <w:right w:val="single" w:sz="4" w:color="BDC3C7"/>
            </w:tcBorders>
          </w:tcPr>
          <w:p>
            <w:r>
              <w:t>In the Q4 2025 call, CFO provided specific guidance: 'sponsorship, straightforward. Expect it to continue to be up double digits AOI this year. We're over 70% b</w:t>
            </w:r>
          </w:p>
        </w:tc>
      </w:tr>
    </w:tbl>
    <w:p>
      <w:pPr>
        <w:pStyle w:val="SubHeading"/>
      </w:pPr>
      <w:r>
        <w:t>Bear revisions:</w:t>
      </w:r>
    </w:p>
    <w:p>
      <w:pPr>
        <w:pStyle w:val="ListBullet"/>
      </w:pPr>
      <w:r>
        <w:t>Revenue Growth.stadium_volume_growth: 7.0 → 4.0 — Secondary ticketing headwinds could pressure Ticketmaster revenue more than management's 'one-time' characterization suggests, and international stadium growth may face macro headwinds not yet visible in booking data</w:t>
      </w:r>
    </w:p>
    <w:p>
      <w:pPr>
        <w:pStyle w:val="ListBullet"/>
      </w:pPr>
      <w:r>
        <w:t>Revenue Growth.venue_nation_expansion: 3.0 → 1.5 — New venue ramp could be slower than expected given pre-opening expense pressures and uncertain consumer spending on premium experiences during potential economic softening</w:t>
      </w:r>
    </w:p>
    <w:p>
      <w:pPr>
        <w:pStyle w:val="SectionHeading"/>
      </w:pPr>
      <w:r>
        <w:t>3. Consensus Gap &amp; Valuation</w:t>
      </w:r>
    </w:p>
    <w:p>
      <w:r>
        <w:t>Our estimate: EPS $0.08 vs. consensus $1.56 ($1.48 / 94.9% below).</w:t>
      </w:r>
    </w:p>
    <w:p>
      <w:r>
        <w:t>Our estimate is $1.48 (94.9%) below consensus $1.56. Primary driver: Revenue Growth.venue_nation_expansion (ours +1.5 vs street +9.9, contributing $-1.517 to EPS variant, evidence: moderate). Variant appears NOT fully priced in based on available market data. Next catalyst: Next quarterly earnings report (2026-05-05 (13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 Growth.venue_nation_expansion</w:t>
            </w:r>
          </w:p>
        </w:tc>
        <w:tc>
          <w:tcPr>
            <w:tcW w:type="dxa" w:w="1958"/>
            <w:tcBorders>
              <w:top w:val="single" w:sz="4" w:color="BDC3C7"/>
              <w:bottom w:val="single" w:sz="4" w:color="BDC3C7"/>
              <w:left w:val="single" w:sz="4" w:color="BDC3C7"/>
              <w:right w:val="single" w:sz="4" w:color="BDC3C7"/>
            </w:tcBorders>
          </w:tcPr>
          <w:p>
            <w:r>
              <w:t>+1.50</w:t>
            </w:r>
          </w:p>
        </w:tc>
        <w:tc>
          <w:tcPr>
            <w:tcW w:type="dxa" w:w="1958"/>
            <w:tcBorders>
              <w:top w:val="single" w:sz="4" w:color="BDC3C7"/>
              <w:bottom w:val="single" w:sz="4" w:color="BDC3C7"/>
              <w:left w:val="single" w:sz="4" w:color="BDC3C7"/>
              <w:right w:val="single" w:sz="4" w:color="BDC3C7"/>
            </w:tcBorders>
          </w:tcPr>
          <w:p>
            <w:r>
              <w:t>+9.93</w:t>
            </w:r>
          </w:p>
        </w:tc>
        <w:tc>
          <w:tcPr>
            <w:tcW w:type="dxa" w:w="1958"/>
            <w:tcBorders>
              <w:top w:val="single" w:sz="4" w:color="BDC3C7"/>
              <w:bottom w:val="single" w:sz="4" w:color="BDC3C7"/>
              <w:left w:val="single" w:sz="4" w:color="BDC3C7"/>
              <w:right w:val="single" w:sz="4" w:color="BDC3C7"/>
            </w:tcBorders>
          </w:tcPr>
          <w:p>
            <w:r>
              <w:t>-1.517</w:t>
            </w:r>
          </w:p>
        </w:tc>
        <w:tc>
          <w:tcPr>
            <w:tcW w:type="dxa" w:w="1958"/>
            <w:tcBorders>
              <w:top w:val="single" w:sz="4" w:color="BDC3C7"/>
              <w:bottom w:val="single" w:sz="4" w:color="BDC3C7"/>
              <w:left w:val="single" w:sz="4" w:color="BDC3C7"/>
              <w:right w:val="single" w:sz="4" w:color="BDC3C7"/>
            </w:tcBorders>
          </w:tcPr>
          <w:p>
            <w:r>
              <w:t>0.65</w:t>
            </w:r>
          </w:p>
        </w:tc>
      </w:tr>
      <w:tr>
        <w:tc>
          <w:tcPr>
            <w:tcW w:type="dxa" w:w="1958"/>
            <w:tcBorders>
              <w:top w:val="single" w:sz="4" w:color="BDC3C7"/>
              <w:bottom w:val="single" w:sz="4" w:color="BDC3C7"/>
              <w:left w:val="single" w:sz="4" w:color="BDC3C7"/>
              <w:right w:val="single" w:sz="4" w:color="BDC3C7"/>
            </w:tcBorders>
          </w:tcPr>
          <w:p>
            <w:r>
              <w:t>Revenue Growth.stadium_volume_growth</w:t>
            </w:r>
          </w:p>
        </w:tc>
        <w:tc>
          <w:tcPr>
            <w:tcW w:type="dxa" w:w="1958"/>
            <w:tcBorders>
              <w:top w:val="single" w:sz="4" w:color="BDC3C7"/>
              <w:bottom w:val="single" w:sz="4" w:color="BDC3C7"/>
              <w:left w:val="single" w:sz="4" w:color="BDC3C7"/>
              <w:right w:val="single" w:sz="4" w:color="BDC3C7"/>
            </w:tcBorders>
          </w:tcPr>
          <w:p>
            <w:r>
              <w:t>+4.00</w:t>
            </w:r>
          </w:p>
        </w:tc>
        <w:tc>
          <w:tcPr>
            <w:tcW w:type="dxa" w:w="1958"/>
            <w:tcBorders>
              <w:top w:val="single" w:sz="4" w:color="BDC3C7"/>
              <w:bottom w:val="single" w:sz="4" w:color="BDC3C7"/>
              <w:left w:val="single" w:sz="4" w:color="BDC3C7"/>
              <w:right w:val="single" w:sz="4" w:color="BDC3C7"/>
            </w:tcBorders>
          </w:tcPr>
          <w:p>
            <w:r>
              <w:t>+12.42</w:t>
            </w:r>
          </w:p>
        </w:tc>
        <w:tc>
          <w:tcPr>
            <w:tcW w:type="dxa" w:w="1958"/>
            <w:tcBorders>
              <w:top w:val="single" w:sz="4" w:color="BDC3C7"/>
              <w:bottom w:val="single" w:sz="4" w:color="BDC3C7"/>
              <w:left w:val="single" w:sz="4" w:color="BDC3C7"/>
              <w:right w:val="single" w:sz="4" w:color="BDC3C7"/>
            </w:tcBorders>
          </w:tcPr>
          <w:p>
            <w:r>
              <w:t>-1.516</w:t>
            </w:r>
          </w:p>
        </w:tc>
        <w:tc>
          <w:tcPr>
            <w:tcW w:type="dxa" w:w="1958"/>
            <w:tcBorders>
              <w:top w:val="single" w:sz="4" w:color="BDC3C7"/>
              <w:bottom w:val="single" w:sz="4" w:color="BDC3C7"/>
              <w:left w:val="single" w:sz="4" w:color="BDC3C7"/>
              <w:right w:val="single" w:sz="4" w:color="BDC3C7"/>
            </w:tcBorders>
          </w:tcPr>
          <w:p>
            <w:r>
              <w:t>0.70</w:t>
            </w:r>
          </w:p>
        </w:tc>
      </w:tr>
      <w:tr>
        <w:tc>
          <w:tcPr>
            <w:tcW w:type="dxa" w:w="1958"/>
            <w:tcBorders>
              <w:top w:val="single" w:sz="4" w:color="BDC3C7"/>
              <w:bottom w:val="single" w:sz="4" w:color="BDC3C7"/>
              <w:left w:val="single" w:sz="4" w:color="BDC3C7"/>
              <w:right w:val="single" w:sz="4" w:color="BDC3C7"/>
            </w:tcBorders>
          </w:tcPr>
          <w:p>
            <w:r>
              <w:t>Revenue Growth.sponsorship_growth</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+10.42</w:t>
            </w:r>
          </w:p>
        </w:tc>
        <w:tc>
          <w:tcPr>
            <w:tcW w:type="dxa" w:w="1958"/>
            <w:tcBorders>
              <w:top w:val="single" w:sz="4" w:color="BDC3C7"/>
              <w:bottom w:val="single" w:sz="4" w:color="BDC3C7"/>
              <w:left w:val="single" w:sz="4" w:color="BDC3C7"/>
              <w:right w:val="single" w:sz="4" w:color="BDC3C7"/>
            </w:tcBorders>
          </w:tcPr>
          <w:p>
            <w:r>
              <w:t>-1.516</w:t>
            </w:r>
          </w:p>
        </w:tc>
        <w:tc>
          <w:tcPr>
            <w:tcW w:type="dxa" w:w="1958"/>
            <w:tcBorders>
              <w:top w:val="single" w:sz="4" w:color="BDC3C7"/>
              <w:bottom w:val="single" w:sz="4" w:color="BDC3C7"/>
              <w:left w:val="single" w:sz="4" w:color="BDC3C7"/>
              <w:right w:val="single" w:sz="4" w:color="BDC3C7"/>
            </w:tcBorders>
          </w:tcPr>
          <w:p>
            <w:r>
              <w:t>0.75</w:t>
            </w:r>
          </w:p>
        </w:tc>
      </w:tr>
    </w:tbl>
    <w:p>
      <w:r>
        <w:t>Priced in: not fully — Variant (-94.9%) exceeds implied move (2.3%). Short interest 13.0% neutral</w:t>
      </w:r>
    </w:p>
    <w:p>
      <w:r>
        <w:t>Edge verdict: ACTIONABLE_EDGE (score 0.393).</w:t>
      </w:r>
    </w:p>
    <w:p>
      <w:pPr>
        <w:pStyle w:val="SectionHeading"/>
      </w:pPr>
      <w:r>
        <w:t>4. Catalysts</w:t>
      </w:r>
    </w:p>
    <w:p>
      <w:pPr>
        <w:pStyle w:val="ListBullet"/>
      </w:pPr>
      <w:r>
        <w:t>Next quarterly earnings report (2026-05-05 (13 days)) — resolves revenue + margins + guidance; confirms or challenges</w:t>
      </w:r>
    </w:p>
    <w:p>
      <w:pPr>
        <w:pStyle w:val="ListBullet"/>
      </w:pPr>
      <w:r>
        <w:t>Resolution: Bull case assumes seamless execution of double-digit AOI growth across all segme (Multi-year thesis -- patience required) — resolves Revenue Growth; confirms or challenges</w:t>
      </w:r>
    </w:p>
    <w:p>
      <w:pPr>
        <w:pStyle w:val="ListBullet"/>
      </w:pPr>
      <w:r>
        <w:t>Resolution: Venue Nation expansion drives predictable margin improvement (Multi-year thesis -- patience required) — resolves Revenue Growth; confirms or challenges</w:t>
      </w:r>
    </w:p>
    <w:p>
      <w:pPr>
        <w:pStyle w:val="ListBullet"/>
      </w:pPr>
      <w:r>
        <w:t>Specific details on secondary ticketing headwinds that CFO deflected discussing (Unknown timing) — resolves multiple; resolves uncertainty</w:t>
      </w:r>
    </w:p>
    <w:p>
      <w:pPr>
        <w:pStyle w:val="ListBullet"/>
      </w:pPr>
      <w:r>
        <w:t>Quantified impact of venue mix shifts on margins when stadium activity normalizes (Unknown timing) — resolves multiple; resolves uncertainty</w:t>
      </w:r>
    </w:p>
    <w:p>
      <w:pPr>
        <w:pStyle w:val="SectionHeading"/>
      </w:pPr>
      <w:r>
        <w:t>5. Risks, Blind Spots &amp; Kill Criteria</w:t>
      </w:r>
    </w:p>
    <w:p>
      <w:pPr>
        <w:pStyle w:val="SubHeading"/>
      </w:pPr>
      <w:r>
        <w:t>Top risks:</w:t>
      </w:r>
    </w:p>
    <w:p>
      <w:pPr>
        <w:pStyle w:val="ListBullet"/>
      </w:pPr>
      <w:r>
        <w:t>Bull case assumes seamless execution of double-digit AOI growth across all segments — counter: In the Q4 2025 call, CFO disclosed 'We've got some one-time headwinds on secondary. We'll let somebody else ask the question on that' but then deflected when pressed for details. This suggests potential Ticketmaster revenue pressure that management is not fully transparent about. Additionally, Q3 2025 showed amphitheater and arena underperformance that CEO attributed to venue mix volatility. [moderate]</w:t>
      </w:r>
    </w:p>
    <w:p>
      <w:pPr>
        <w:pStyle w:val="ListBullet"/>
      </w:pPr>
      <w:r>
        <w:t>Venue Nation expansion drives predictable margin improvement — counter: The Q2 2025 call showed venue development requires significant upfront capex with uncertain returns. CFO noted 'it's very early to start talking about 25 CapEx' when pressed on venue investment returns. Pre-opening expenses for new venues could pressure near-term margins before benefits materialize. [minor]</w:t>
      </w:r>
    </w:p>
    <w:p>
      <w:pPr>
        <w:pStyle w:val="KillCriteria"/>
      </w:pPr>
      <w:r>
        <w:t>What would change our mind: Print on Revenue Growth.venue_nation_expansion comes in above our +1.5 figure (toward street +9.9) in the next 1-2 prints.</w:t>
      </w:r>
    </w:p>
    <w:p>
      <w:pPr>
        <w:pStyle w:val="SectionHeading"/>
      </w:pPr>
      <w:r>
        <w:t>Appendix</w:t>
      </w:r>
    </w:p>
    <w:p>
      <w:pPr>
        <w:pStyle w:val="SubHeading"/>
      </w:pPr>
      <w:r>
        <w:t>Business context:</w:t>
      </w:r>
    </w:p>
    <w:p>
      <w:r>
        <w:t>Live Nation is the world's largest live entertainment company, operating concerts across owned and third-party venues globally, selling tickets through Ticketmaster, and monetizing fans through sponsorships and venue concessions. The company generates revenue from three main segments: Concerts (promoting shows and artist services), Ticketing (fees from ticket sales), and Sponsorship &amp; Advertising (corporate partnerships).</w:t>
      </w:r>
    </w:p>
    <w:p>
      <w:pPr>
        <w:pStyle w:val="SubHeading"/>
      </w:pPr>
      <w:r>
        <w:t>Evidence gaps (research TODO):</w:t>
      </w:r>
    </w:p>
    <w:p>
      <w:pPr>
        <w:pStyle w:val="ListBullet"/>
      </w:pPr>
      <w:r>
        <w:t>Specific details on secondary ticketing headwinds that CFO deflected discussing</w:t>
      </w:r>
    </w:p>
    <w:p>
      <w:pPr>
        <w:pStyle w:val="ListBullet"/>
      </w:pPr>
      <w:r>
        <w:t>Quantified impact of venue mix shifts on margins when stadium activity normalizes</w:t>
      </w:r>
    </w:p>
    <w:p>
      <w:pPr>
        <w:pStyle w:val="ListBullet"/>
      </w:pPr>
      <w:r>
        <w:t>International macro sensitivity given accelerating European stadium growth</w:t>
      </w:r>
    </w:p>
    <w:p>
      <w:pPr>
        <w:pStyle w:val="ListBullet"/>
      </w:pPr>
      <w:r>
        <w:t>Venue Nation per-fan spend trends and pricing power in current environment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