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PRMB — PRMB</w:t>
      </w:r>
    </w:p>
    <w:p>
      <w:pPr>
        <w:pStyle w:val="SmallMeta"/>
      </w:pPr>
      <w:r>
        <w:t>As of 2026-05-04  |  Schema: general  |  Data: polygon+alpha_vantage (FY2025)</w:t>
      </w:r>
    </w:p>
    <w:p>
      <w:pPr>
        <w:pStyle w:val="SubHeading"/>
      </w:pPr>
      <w:r>
        <w:rPr>
          <w:color w:val="8C1D40"/>
        </w:rPr>
        <w:t>Direction: SHORT | Current: $20.09</w:t>
      </w:r>
    </w:p>
    <w:p>
      <w:pPr>
        <w:pStyle w:val="SubHeading"/>
      </w:pPr>
      <w:r>
        <w:t>Summary</w:t>
      </w:r>
    </w:p>
    <w:p>
      <w:pPr>
        <w:pStyle w:val="ListBullet"/>
      </w:pPr>
      <w:r>
        <w:t>Thesis: No clear edge identified -- estimate is close to consensus range.</w:t>
      </w:r>
    </w:p>
    <w:p>
      <w:pPr>
        <w:pStyle w:val="ListBullet"/>
      </w:pPr>
      <w:r>
        <w:t>Next catalyst: Next quarterly earnings report (2026-05-07 (3 days))</w:t>
      </w:r>
    </w:p>
    <w:p>
      <w:pPr>
        <w:pStyle w:val="ListBullet"/>
      </w:pPr>
      <w:r>
        <w:t>Top risk: Direct delivery will recover smoothly in H2 2026</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$-0.29 is 122% below consensus $1.31 (after 1 bear/bull revision(s)). Claims this extreme require specific named catastrophic (or windfall) mechanisms — review the brief + adversarial output and confirm the thesis supports this magnitude, or treat the number as mis-calibrated.</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$0.24</w:t>
            </w:r>
          </w:p>
        </w:tc>
        <w:tc>
          <w:tcPr>
            <w:tcW w:type="dxa" w:w="1399"/>
            <w:tcBorders>
              <w:top w:val="single" w:sz="4" w:color="BDC3C7"/>
              <w:bottom w:val="single" w:sz="4" w:color="BDC3C7"/>
              <w:left w:val="single" w:sz="4" w:color="BDC3C7"/>
              <w:right w:val="single" w:sz="4" w:color="BDC3C7"/>
            </w:tcBorders>
          </w:tcPr>
          <w:p>
            <w:r>
              <w:t>$0.19 – $0.30</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-16.5%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$0.35</w:t>
            </w:r>
          </w:p>
        </w:tc>
        <w:tc>
          <w:tcPr>
            <w:tcW w:type="dxa" w:w="1399"/>
            <w:tcBorders>
              <w:top w:val="single" w:sz="4" w:color="BDC3C7"/>
              <w:bottom w:val="single" w:sz="4" w:color="BDC3C7"/>
              <w:left w:val="single" w:sz="4" w:color="BDC3C7"/>
              <w:right w:val="single" w:sz="4" w:color="BDC3C7"/>
            </w:tcBorders>
          </w:tcPr>
          <w:p>
            <w:r>
              <w:t>$0.30 – $0.43</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$1.31</w:t>
            </w:r>
          </w:p>
        </w:tc>
        <w:tc>
          <w:tcPr>
            <w:tcW w:type="dxa" w:w="1399"/>
            <w:tcBorders>
              <w:top w:val="single" w:sz="4" w:color="BDC3C7"/>
              <w:bottom w:val="single" w:sz="4" w:color="BDC3C7"/>
              <w:left w:val="single" w:sz="4" w:color="BDC3C7"/>
              <w:right w:val="single" w:sz="4" w:color="BDC3C7"/>
            </w:tcBorders>
          </w:tcPr>
          <w:p>
            <w:r>
              <w:t>$1.13 – $1.52</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-1.8%</w:t>
            </w:r>
          </w:p>
        </w:tc>
        <w:tc>
          <w:tcPr>
            <w:tcW w:type="dxa" w:w="1399"/>
            <w:tcBorders>
              <w:top w:val="single" w:sz="4" w:color="BDC3C7"/>
              <w:bottom w:val="single" w:sz="4" w:color="BDC3C7"/>
              <w:left w:val="single" w:sz="4" w:color="BDC3C7"/>
              <w:right w:val="single" w:sz="4" w:color="BDC3C7"/>
            </w:tcBorders>
          </w:tcPr>
          <w:p>
            <w:r>
              <w:t>↑ +0.011</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$1.54</w:t>
            </w:r>
          </w:p>
        </w:tc>
        <w:tc>
          <w:tcPr>
            <w:tcW w:type="dxa" w:w="1399"/>
            <w:tcBorders>
              <w:top w:val="single" w:sz="4" w:color="BDC3C7"/>
              <w:bottom w:val="single" w:sz="4" w:color="BDC3C7"/>
              <w:left w:val="single" w:sz="4" w:color="BDC3C7"/>
              <w:right w:val="single" w:sz="4" w:color="BDC3C7"/>
            </w:tcBorders>
          </w:tcPr>
          <w:p>
            <w:r>
              <w:t>$1.40 – $1.72</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+17.9%</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↓5</w:t>
            </w:r>
          </w:p>
        </w:tc>
      </w:tr>
    </w:tbl>
    <w:p>
      <w:r>
        <w:t>Revenue consensus: Q $1.58B (-2.1%)  |  Q+1 $1.74B (+0.8%)  |  FY $6.70B (+0.5%)  |  FY+1 $6.93B (+3.5%)</w:t>
      </w:r>
    </w:p>
    <w:p>
      <w:r>
        <w:t>Price targets: Mean $26.08  |  Median $25.50  |  Range $19.00–$35.00  |  Current $20.09 (+29.8% to mean)</w:t>
      </w:r>
    </w:p>
    <w:p>
      <w:r>
        <w:t>Analyst ratings (n=13): Strong Buy 5 · Buy 6 · Hold 2 · Sell 0 · Strong Sell 0  ·  85% bullish</w:t>
      </w:r>
    </w:p>
    <w:p>
      <w:r>
        <w:t>Next earnings: 2026-05-07 (3d out)  ·  EPS $0.24 ($0.19–$0.30)  ·  Rev $1.58B</w:t>
      </w:r>
    </w:p>
    <w:p>
      <w:pPr>
        <w:pStyle w:val="SectionHeading"/>
      </w:pPr>
      <w:r>
        <w:t>1. Research Synthesis</w:t>
      </w:r>
    </w:p>
    <w:p>
      <w:r>
        <w:t>Primo Brands presents a classic post-merger integration story where operational disruptions have masked the underlying business fundamentals, but the path forward appears largely in line with both management guidance and street expectations. The company's Q4 2025 results showed net sales of $1.554B, down 2.5% on a comparable basis, with the decline primarily driven by direct delivery customer base erosion during integration rounds. However, management emphasized that 'early signs that our initiatives are resulting in an improved trajectory for the business' with comparable adjusted EBITDA up 11% to $334.1M and margins expanding 260 basis points to 21.5%.</w:t>
      </w:r>
    </w:p>
    <w:p>
      <w:r>
        <w:t>The sequential trajectory analysis reveals normal seasonal patterns rather than concerning deceleration. Q4 2025 revenue of $1.554B declined 12.0% sequentially from Q3 2025's $1.766B, but this appears consistent with typical beverage industry seasonality where Q4 typically sees sequential declines from Q3 peaks. Without prior-year quarterly comparisons readily available in the corpus, this seasonal pattern cannot be fully verified, but management's confidence in Q4 call suggests this is within normal bounds.</w:t>
      </w:r>
    </w:p>
    <w:p>
      <w:r>
        <w:t>Management's FY2026 guidance provides clear anchoring points: 0-1% organic net sales growth on a base of $6.635B (excluding the exited office coffee service business), adjusted EBITDA of $1.485-1.515B, and adjusted free cash flow of $790-810M. CFO David Hernandez noted on the Q4 call that 'we expect organic net sales growth in the range of 0% to 1%, with the return to growth weighted in the second half' and 'we face a difficult first quarter comparison, cycling 3% year-over-year sales growth.' This guidance framework suggests management expects H1 2026 to remain challenging before inflecting in H2.</w:t>
      </w:r>
    </w:p>
    <w:p>
      <w:r>
        <w:t>The direct delivery recovery represents the key operational catalyst. This channel generated $633.2M in Q4 2025, down 5.3% year-over-year, but management noted month-to-month improvement in customer net additions despite still being negative overall. CEO Eric Foss emphasized that 'integration rounds 6 and 7 on track to be completed within the first half of 2026' per the deck, which should eliminate remaining service disruptions. The direct delivery business historically represented ~40% of total revenue pre-integration, so stabilization here is critical for overall growth recovery.</w:t>
      </w:r>
    </w:p>
    <w:p>
      <w:r>
        <w:t>Premium brand performance provides a bright spot with clear capacity expansion catalysts. Premium Water segment revenue grew 39.1% in Q4 2025 to $90.3M and 43.9% for full year 2025 to $349.9M. Management is investing heavily in capacity expansion with the Mountain Valley Factory expected operational mid-2026 and Saratoga Hawkins expansion operational by spring 2026. These investments should support continued double-digit growth in the premium segment, though the absolute dollar impact remains modest given the segment's ~5% revenue share.</w:t>
      </w:r>
    </w:p>
    <w:p>
      <w:r>
        <w:t>Margin expansion trajectory appears sustainable based on synergy capture progress. Management achieved $140M in estimated annualized cost savings through 2025 integration activities, with comparable adjusted EBITDA margins expanding 170 basis points to 21.7% for full year 2025. The FY2026 EBITDA guidance of $1.485-1.515B on revenue guidance midpoint of ~$6.67B implies margins of 22.3-22.7%, representing 60-100 basis points of further expansion. This progression appears achievable given ongoing synergy realization and the completion of integration rounds 6 and 7.</w:t>
      </w:r>
    </w:p>
    <w:p>
      <w:r>
        <w:t>Capital allocation priorities remain balanced between growth investment and shareholder returns. The company returned $344M to shareholders in 2025 through dividends and buybacks under a $300M program, with $107M remaining available. Base CapEx guidance of 4% of net sales (~$267M on $6.67B revenue) supports maintenance and growth initiatives including the premium brand capacity expansions. Net leverage of 3.37x provides flexibility while management focuses on deleveraging through cash flow generation.</w:t>
      </w:r>
    </w:p>
    <w:p>
      <w:r>
        <w:t>The street's FY2026 EPS consensus of $1.31 appears reasonable when reconciled against management's guidance framework. With EBITDA guidance midpoint of $1.5B, net interest expense likely ~$325M based on current debt levels, and the 44.6% tax rate from FY2025 financials, the implied net income would be ~$510M or $1.36 per share on 374.9M diluted shares. This rough calculation sits close to consensus, suggesting limited edge opportunity.</w:t>
      </w:r>
    </w:p>
    <w:p>
      <w:r>
        <w:t>Risk factors center on direct delivery recovery timing and premium brand capacity utilization. If integration rounds 6 and 7 face delays or customer win-back proves slower than expected, H2 2026 growth recovery could disappoint. Additionally, the premium brand capacity investments represent meaningful CapEx commitments that require strong demand realization to generate returns. However, management's track record of integration execution and the structural tailwinds in bottled water consumption provide reasonable confidence in the base case scenario.</w:t>
      </w:r>
    </w:p>
    <w:p>
      <w:pPr>
        <w:pStyle w:val="ListBullet"/>
      </w:pPr>
      <w:r>
        <w:rPr>
          <w:i/>
        </w:rPr>
        <w:t>→ Research confirms: Primo Brands Q4 2025 earnings release directly confirms net sales of $1.554B, down 2.5% on comparable basis. Multiple authoritative sources including company earnings call transcripts verify exact figures. (fool.com)</w:t>
      </w:r>
    </w:p>
    <w:p>
      <w:pPr>
        <w:pStyle w:val="ListBullet"/>
      </w:pPr>
      <w:r>
        <w:rPr>
          <w:i/>
        </w:rPr>
        <w:t>→ Research confirms: PRMB management confirmed in Q4 2025 earnings that the company has completed the first five integration waves and is planning two remaining rounds for 2026, with no specific timeline contradicting H1 completion. (tipranks.com)</w:t>
      </w:r>
    </w:p>
    <w:p>
      <w:pPr>
        <w:pStyle w:val="ListBullet"/>
      </w:pPr>
      <w:r>
        <w:rPr>
          <w:i/>
        </w:rPr>
        <w:t>→ Research [UPDATES]: PRMB confirms Mountain Valley Factory operational timeline, but specifies spring 2026, not mid-2026. Spring 2026 is earlier than mid-2026 (Q2/Q3 vs. Q2). (prnewswire.com)</w:t>
      </w:r>
    </w:p>
    <w:p>
      <w:pPr>
        <w:pStyle w:val="ListBullet"/>
      </w:pPr>
      <w:r>
        <w:rPr>
          <w:i/>
        </w:rPr>
        <w:t>→ Research confirms: Primo Brands (PRMB) Q4 2025 earnings confirm Saratoga bottling facility expansion remains on track to come online spring 2026, supporting retail growth in premium brands. (fool.com)</w:t>
      </w:r>
    </w:p>
    <w:p>
      <w:pPr>
        <w:pStyle w:val="ListBullet"/>
      </w:pPr>
      <w:r>
        <w:rPr>
          <w:i/>
        </w:rPr>
        <w:t>→ Research confirms: Eric Foss has documented integration execution experience: led PBG/PAS reintegration into PepsiCo (2010–2011) and oversaw substantial acquisition/integration efforts at Pepsi Bottling Group. Sources confirm his track record of integration leadership across major transactions. (primobrands.com)</w:t>
      </w:r>
    </w:p>
    <w:p>
      <w:pPr>
        <w:pStyle w:val="ListBullet"/>
      </w:pPr>
      <w:r>
        <w:rPr>
          <w:i/>
        </w:rPr>
        <w:t>→ Research [CONTRADICTS]: Management confidence claims are contradicted by sustained insider selling pattern. CEO and executives sold $3.17M+ in 2025 with no offsetting open-market purchases; insiders sold 5,200 shares valued at $1.34M in last 90 days (as of Feb 2026) while insider ownership fell to 0.61-0.63%. (ainvest.com)</w:t>
      </w:r>
    </w:p>
    <w:p>
      <w:pPr>
        <w:pStyle w:val="ListBullet"/>
      </w:pPr>
      <w:r>
        <w:rPr>
          <w:i/>
        </w:rPr>
        <w:t>→ Research: PRMB post-merger integration triggered severe operational disruptions (facility closures, technology failures, customer service issues) that forced management to slash 2025 guidance. Institutional ownership remains elevated at 87.7% as of early 2025, but Q4 2025 13F data on specific ownership changes unavailable in search results. Integration-driven supply/demand disruption confirmed; institutiona (zlk.com)</w:t>
      </w:r>
    </w:p>
    <w:p>
      <w:pPr>
        <w:pStyle w:val="ListBullet"/>
      </w:pPr>
      <w:r>
        <w:rPr>
          <w:i/>
        </w:rPr>
        <w:t>→ Research [CONTRADICTS]: Search results show pricing power is constrained, not stable. Mass-market segment faces intense price competition with private labels limiting margins; premium segment can command 200-400% premiums but represents only ~10% of market. Cost pressures (packaging +28%, logistics +33% for manufacturers) and commoditization actively erode pricing power across the industry. (openpr.com)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$0.24</w:t>
            </w:r>
          </w:p>
        </w:tc>
        <w:tc>
          <w:tcPr>
            <w:tcW w:type="dxa" w:w="3264"/>
            <w:tcBorders>
              <w:top w:val="single" w:sz="4" w:color="BDC3C7"/>
              <w:bottom w:val="single" w:sz="4" w:color="BDC3C7"/>
              <w:left w:val="single" w:sz="4" w:color="BDC3C7"/>
              <w:right w:val="single" w:sz="4" w:color="BDC3C7"/>
            </w:tcBorders>
          </w:tcPr>
          <w:p>
            <w:r>
              <w:t>$1,579M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$0.35</w:t>
            </w:r>
          </w:p>
        </w:tc>
        <w:tc>
          <w:tcPr>
            <w:tcW w:type="dxa" w:w="3264"/>
            <w:tcBorders>
              <w:top w:val="single" w:sz="4" w:color="BDC3C7"/>
              <w:bottom w:val="single" w:sz="4" w:color="BDC3C7"/>
              <w:left w:val="single" w:sz="4" w:color="BDC3C7"/>
              <w:right w:val="single" w:sz="4" w:color="BDC3C7"/>
            </w:tcBorders>
          </w:tcPr>
          <w:p>
            <w:r>
              <w:t>$1,744M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$1.31</w:t>
            </w:r>
          </w:p>
        </w:tc>
        <w:tc>
          <w:tcPr>
            <w:tcW w:type="dxa" w:w="3264"/>
            <w:tcBorders>
              <w:top w:val="single" w:sz="4" w:color="BDC3C7"/>
              <w:bottom w:val="single" w:sz="4" w:color="BDC3C7"/>
              <w:left w:val="single" w:sz="4" w:color="BDC3C7"/>
              <w:right w:val="single" w:sz="4" w:color="BDC3C7"/>
            </w:tcBorders>
          </w:tcPr>
          <w:p>
            <w:r>
              <w:t>$6,696M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$1.54</w:t>
            </w:r>
          </w:p>
        </w:tc>
        <w:tc>
          <w:tcPr>
            <w:tcW w:type="dxa" w:w="3264"/>
            <w:tcBorders>
              <w:top w:val="single" w:sz="4" w:color="BDC3C7"/>
              <w:bottom w:val="single" w:sz="4" w:color="BDC3C7"/>
              <w:left w:val="single" w:sz="4" w:color="BDC3C7"/>
              <w:right w:val="single" w:sz="4" w:color="BDC3C7"/>
            </w:tcBorders>
          </w:tcPr>
          <w:p>
            <w:r>
              <w:t>$6,933M</w:t>
            </w:r>
          </w:p>
        </w:tc>
      </w:tr>
    </w:tbl>
    <w:p>
      <w:pPr>
        <w:pStyle w:val="SubHeading"/>
      </w:pPr>
      <w:r>
        <w:t>Management guidance:</w:t>
      </w:r>
    </w:p>
    <w:p>
      <w:pPr>
        <w:pStyle w:val="ListBullet"/>
      </w:pPr>
      <w:r>
        <w:t>Capacity Expansion Timing (mid-2026): Mountain Valley Factory expected to be operational mid-2026  — Deck p.4</w:t>
      </w:r>
    </w:p>
    <w:p>
      <w:pPr>
        <w:pStyle w:val="ListBullet"/>
      </w:pPr>
      <w:r>
        <w:t>Capacity Expansion Timing (spring 2026): Saratoga Hawkins expansion expected to be operational by spring 2026  — Deck p.4</w:t>
      </w:r>
    </w:p>
    <w:p>
      <w:pPr>
        <w:pStyle w:val="ListBullet"/>
      </w:pPr>
      <w:r>
        <w:t>Integration Completion Timing (first half of 2026): Integration rounds 6 and 7 on track to be completed within the first half of 2026  — Deck p.6</w:t>
      </w:r>
    </w:p>
    <w:p>
      <w:pPr>
        <w:pStyle w:val="ListBullet"/>
      </w:pPr>
      <w:r>
        <w:t>Revenue (FY2026): 0% to 1%  — Deck p.13</w:t>
      </w:r>
    </w:p>
    <w:p>
      <w:pPr>
        <w:pStyle w:val="ListBullet"/>
      </w:pPr>
      <w:r>
        <w:t>Adj. EBITDA (FY2026): $1,485 to $1,515  — Deck p.13</w:t>
      </w:r>
    </w:p>
    <w:p>
      <w:pPr>
        <w:pStyle w:val="ListBullet"/>
      </w:pPr>
      <w:r>
        <w:t>CapEx (FY2026): 4% of Net Sales  — Deck p.13</w:t>
      </w:r>
    </w:p>
    <w:p>
      <w:pPr>
        <w:pStyle w:val="ListBullet"/>
      </w:pPr>
      <w:r>
        <w:t>Free Cash Flow (FY2026): $790 to $810  — Deck p.13</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+0.26%</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organic_revenue_growth</w:t>
            </w:r>
          </w:p>
        </w:tc>
        <w:tc>
          <w:tcPr>
            <w:tcW w:type="dxa" w:w="2448"/>
            <w:tcBorders>
              <w:top w:val="single" w:sz="4" w:color="BDC3C7"/>
              <w:bottom w:val="single" w:sz="4" w:color="BDC3C7"/>
              <w:left w:val="single" w:sz="4" w:color="BDC3C7"/>
              <w:right w:val="single" w:sz="4" w:color="BDC3C7"/>
            </w:tcBorders>
          </w:tcPr>
          <w:p>
            <w:r>
              <w:t>+0.26%</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guides 0-1% organic net sales growth for FY2026 with recovery weighted to second half. On the Q4 2026 call, CFO David Hernandez stated 'we expect organic net sales growth in the range of 0% to 1%, with the ret</w:t>
            </w:r>
          </w:p>
        </w:tc>
      </w:tr>
    </w:tbl>
    <w:p>
      <w:pPr>
        <w:pStyle w:val="SubHeading"/>
      </w:pPr>
      <w:r>
        <w:t>Bear revisions:</w:t>
      </w:r>
    </w:p>
    <w:p>
      <w:pPr>
        <w:pStyle w:val="ListBullet"/>
      </w:pPr>
      <w:r>
        <w:t>revenue_growth.organic_revenue_growth: 0.44 → -1.0 — If direct delivery recovery stalls and integration rounds 6-7 face delays, organic growth could turn negative despite premium brand strength</w:t>
      </w:r>
    </w:p>
    <w:p>
      <w:pPr>
        <w:pStyle w:val="SectionHeading"/>
      </w:pPr>
      <w:r>
        <w:t>3. Consensus Gap &amp; Valuation</w:t>
      </w:r>
    </w:p>
    <w:p>
      <w:r>
        <w:t>Our EPS: $1.31  =  baseline $1.31  +  Σ claim impacts $+0.00 (0.0% below consensus $1.31)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$1.31</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$1.31</w:t>
            </w:r>
          </w:p>
        </w:tc>
      </w:tr>
    </w:tbl>
    <w:p>
      <w:pPr>
        <w:pStyle w:val="PullQuote"/>
      </w:pPr>
      <w:r>
        <w:t xml:space="preserve">  ⚠ Baseline P&amp;L could not be constructed (missing consensus or shares); EPS build degraded to baseline EPS only.</w:t>
      </w:r>
    </w:p>
    <w:p>
      <w:r>
        <w:t>Our estimate is $1.60 (122.2%) below consensus $1.31. No single driver within plausible bounds can close the gap to consensus when other drivers are held at our values; the EPS variant is diffuse (top magnitude: revenue_growth.organic_revenue_growth). Variant appears NOT fully priced in based on available market data. Next catalyst: Next quarterly earnings report (2026-05-07 (3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revenue_growth.organic_revenue_growth</w:t>
            </w:r>
          </w:p>
        </w:tc>
        <w:tc>
          <w:tcPr>
            <w:tcW w:type="dxa" w:w="1958"/>
            <w:tcBorders>
              <w:top w:val="single" w:sz="4" w:color="BDC3C7"/>
              <w:bottom w:val="single" w:sz="4" w:color="BDC3C7"/>
              <w:left w:val="single" w:sz="4" w:color="BDC3C7"/>
              <w:right w:val="single" w:sz="4" w:color="BDC3C7"/>
            </w:tcBorders>
          </w:tcPr>
          <w:p>
            <w:r>
              <w:t>+0.26</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(-122.2%) exceeds implied move (5.7%). Short interest 40.4% neutral</w:t>
      </w:r>
    </w:p>
    <w:p>
      <w:r>
        <w:t>Edge verdict: ACTIONABLE_EDGE (score 0.400).</w:t>
      </w:r>
    </w:p>
    <w:p>
      <w:pPr>
        <w:pStyle w:val="SectionHeading"/>
      </w:pPr>
      <w:r>
        <w:t>4. Catalysts</w:t>
      </w:r>
    </w:p>
    <w:p>
      <w:pPr>
        <w:pStyle w:val="ListBullet"/>
      </w:pPr>
      <w:r>
        <w:t>Next quarterly earnings report (2026-05-07 (3 days)) — resolves revenue + margins + guidance; confirms or challenges</w:t>
      </w:r>
    </w:p>
    <w:p>
      <w:pPr>
        <w:pStyle w:val="ListBullet"/>
      </w:pPr>
      <w:r>
        <w:t>Resolution: Direct delivery will recover smoothly in H2 2026 (Resolves at earnings (2026-05-07)) — resolves revenue_growth; confirms or challenges</w:t>
      </w:r>
    </w:p>
    <w:p>
      <w:pPr>
        <w:pStyle w:val="ListBullet"/>
      </w:pPr>
      <w:r>
        <w:t>Specific customer retention rates and win-back metrics for direct delivery business (Unknown timing) — resolves multiple; resolves uncertainty</w:t>
      </w:r>
    </w:p>
    <w:p>
      <w:pPr>
        <w:pStyle w:val="ListBullet"/>
      </w:pPr>
      <w:r>
        <w:t>Detailed capacity utilization targets for Mountain Valley and Saratoga expansions (Unknown timing) — resolves multiple; resolves uncertainty</w:t>
      </w:r>
    </w:p>
    <w:p>
      <w:pPr>
        <w:pStyle w:val="SectionHeading"/>
      </w:pPr>
      <w:r>
        <w:t>5. Risks, Blind Spots &amp; Kill Criteria</w:t>
      </w:r>
    </w:p>
    <w:p>
      <w:pPr>
        <w:pStyle w:val="SubHeading"/>
      </w:pPr>
      <w:r>
        <w:t>Top risks:</w:t>
      </w:r>
    </w:p>
    <w:p>
      <w:pPr>
        <w:pStyle w:val="ListBullet"/>
      </w:pPr>
      <w:r>
        <w:t>Direct delivery will recover smoothly in H2 2026 — counter: Customer net additions remain negative despite month-to-month improvement, and integration rounds 6 and 7 still pending completion in H1 2026. Historical integration disruptions lasted longer than initially expected. [moderate]</w:t>
      </w:r>
    </w:p>
    <w:p>
      <w:pPr>
        <w:pStyle w:val="KillCriteria"/>
      </w:pPr>
      <w:r>
        <w:t>What would change our mind: Unable to close gap: Specific customer retention rates and win-back metrics for direct delivery business</w:t>
      </w:r>
    </w:p>
    <w:p>
      <w:pPr>
        <w:pStyle w:val="SectionHeading"/>
      </w:pPr>
      <w:r>
        <w:t>Appendix</w:t>
      </w:r>
    </w:p>
    <w:p>
      <w:pPr>
        <w:pStyle w:val="SubHeading"/>
      </w:pPr>
      <w:r>
        <w:t>Business context:</w:t>
      </w:r>
    </w:p>
    <w:p>
      <w:r>
        <w:t>Primo Brands is a leading North American branded beverage company focused on healthy hydration, operating a vertically integrated coast-to-coast network that distributes water brands to over 200,000 retail outlets. The company generates revenue through retail sales of bottled water brands (Poland Spring, Pure Life, Arrowhead, etc.), direct delivery services to homes and businesses, and water dispenser/exchange services.</w:t>
      </w:r>
    </w:p>
    <w:p>
      <w:pPr>
        <w:pStyle w:val="SubHeading"/>
      </w:pPr>
      <w:r>
        <w:t>Evidence gaps (research TODO):</w:t>
      </w:r>
    </w:p>
    <w:p>
      <w:pPr>
        <w:pStyle w:val="ListBullet"/>
      </w:pPr>
      <w:r>
        <w:t>Specific customer retention rates and win-back metrics for direct delivery business</w:t>
      </w:r>
    </w:p>
    <w:p>
      <w:pPr>
        <w:pStyle w:val="ListBullet"/>
      </w:pPr>
      <w:r>
        <w:t>Detailed capacity utilization targets for Mountain Valley and Saratoga expansions</w:t>
      </w:r>
    </w:p>
    <w:p>
      <w:pPr>
        <w:pStyle w:val="ListBullet"/>
      </w:pPr>
      <w:r>
        <w:t>Quarterly progression expectations within FY2026 guidance range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