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PRMB — PRMB</w:t>
      </w:r>
    </w:p>
    <w:p>
      <w:pPr>
        <w:pStyle w:val="SmallMeta"/>
      </w:pPr>
      <w:r>
        <w:t>As of 2026-05-04  |  Schema: general  |  Data: polygon+alpha_vantage (FY2025)</w:t>
      </w:r>
    </w:p>
    <w:p>
      <w:pPr>
        <w:pStyle w:val="SubHeading"/>
      </w:pPr>
      <w:r>
        <w:rPr>
          <w:color w:val="8C1D40"/>
        </w:rPr>
        <w:t>Direction: SHORT | Current: $20.09</w:t>
      </w:r>
    </w:p>
    <w:p>
      <w:pPr>
        <w:pStyle w:val="SubHeading"/>
      </w:pPr>
      <w:r>
        <w:t>Summary</w:t>
      </w:r>
    </w:p>
    <w:p>
      <w:pPr>
        <w:pStyle w:val="ListBullet"/>
      </w:pPr>
      <w:r>
        <w:t>Thesis: No clear edge identified -- estimate is close to consensus range.</w:t>
      </w:r>
    </w:p>
    <w:p>
      <w:pPr>
        <w:pStyle w:val="ListBullet"/>
      </w:pPr>
      <w:r>
        <w:t>Next catalyst: Next quarterly earnings report (2026-05-07 (3 days))</w:t>
      </w:r>
    </w:p>
    <w:p>
      <w:pPr>
        <w:pStyle w:val="ListBullet"/>
      </w:pPr>
      <w:r>
        <w:t>Top risk: Direct delivery will recover smoothly in H2 2026</w:t>
      </w:r>
    </w:p>
    <w:tbl>
      <w:tblPr>
        <w:tblW w:type="auto" w:w="0"/>
        <w:tblLook w:firstColumn="1" w:firstRow="1" w:lastColumn="0" w:lastRow="0" w:noHBand="0" w:noVBand="1" w:val="04A0"/>
      </w:tblPr>
      <w:tblGrid>
        <w:gridCol w:w="9792"/>
      </w:tblGrid>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EXTRAORDINARY VARIANT: our EPS $-0.29 is 122% below consensus $1.31 (after 1 bear/bull revision(s)). Claims this extreme require specific named catastrophic (or windfall) mechanisms — review the brief + adversarial output and confirm the thesis supports this magnitude, or treat the number as mis-calibrated.</w:t>
            </w:r>
          </w:p>
        </w:tc>
      </w:tr>
    </w:tbl>
    <w:p>
      <w:pPr>
        <w:pStyle w:val="SectionHeading"/>
      </w:pPr>
      <w:r>
        <w:t>Street Consensus</w:t>
      </w:r>
    </w:p>
    <w:tbl>
      <w:tblPr>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E8EDF5"/>
            <w:tcBorders>
              <w:top w:val="single" w:sz="4" w:color="BDC3C7"/>
              <w:bottom w:val="single" w:sz="4" w:color="BDC3C7"/>
              <w:left w:val="single" w:sz="4" w:color="BDC3C7"/>
              <w:right w:val="single" w:sz="4" w:color="BDC3C7"/>
            </w:tcBorders>
          </w:tcPr>
          <w:p>
            <w:r>
              <w:rPr>
                <w:b/>
              </w:rPr>
              <w:t>Period</w:t>
            </w:r>
          </w:p>
        </w:tc>
        <w:tc>
          <w:tcPr>
            <w:tcW w:type="dxa" w:w="1399"/>
            <w:shd w:val="clear" w:color="auto" w:fill="E8EDF5"/>
            <w:tcBorders>
              <w:top w:val="single" w:sz="4" w:color="BDC3C7"/>
              <w:bottom w:val="single" w:sz="4" w:color="BDC3C7"/>
              <w:left w:val="single" w:sz="4" w:color="BDC3C7"/>
              <w:right w:val="single" w:sz="4" w:color="BDC3C7"/>
            </w:tcBorders>
          </w:tcPr>
          <w:p>
            <w:r>
              <w:rPr>
                <w:b/>
              </w:rPr>
              <w:t>EPS (mean)</w:t>
            </w:r>
          </w:p>
        </w:tc>
        <w:tc>
          <w:tcPr>
            <w:tcW w:type="dxa" w:w="1399"/>
            <w:shd w:val="clear" w:color="auto" w:fill="E8EDF5"/>
            <w:tcBorders>
              <w:top w:val="single" w:sz="4" w:color="BDC3C7"/>
              <w:bottom w:val="single" w:sz="4" w:color="BDC3C7"/>
              <w:left w:val="single" w:sz="4" w:color="BDC3C7"/>
              <w:right w:val="single" w:sz="4" w:color="BDC3C7"/>
            </w:tcBorders>
          </w:tcPr>
          <w:p>
            <w:r>
              <w:rPr>
                <w:b/>
              </w:rPr>
              <w:t>Range</w:t>
            </w:r>
          </w:p>
        </w:tc>
        <w:tc>
          <w:tcPr>
            <w:tcW w:type="dxa" w:w="1399"/>
            <w:shd w:val="clear" w:color="auto" w:fill="E8EDF5"/>
            <w:tcBorders>
              <w:top w:val="single" w:sz="4" w:color="BDC3C7"/>
              <w:bottom w:val="single" w:sz="4" w:color="BDC3C7"/>
              <w:left w:val="single" w:sz="4" w:color="BDC3C7"/>
              <w:right w:val="single" w:sz="4" w:color="BDC3C7"/>
            </w:tcBorders>
          </w:tcPr>
          <w:p>
            <w:r>
              <w:rPr>
                <w:b/>
              </w:rPr>
              <w:t>n</w:t>
            </w:r>
          </w:p>
        </w:tc>
        <w:tc>
          <w:tcPr>
            <w:tcW w:type="dxa" w:w="1399"/>
            <w:shd w:val="clear" w:color="auto" w:fill="E8EDF5"/>
            <w:tcBorders>
              <w:top w:val="single" w:sz="4" w:color="BDC3C7"/>
              <w:bottom w:val="single" w:sz="4" w:color="BDC3C7"/>
              <w:left w:val="single" w:sz="4" w:color="BDC3C7"/>
              <w:right w:val="single" w:sz="4" w:color="BDC3C7"/>
            </w:tcBorders>
          </w:tcPr>
          <w:p>
            <w:r>
              <w:rPr>
                <w:b/>
              </w:rPr>
              <w:t>YoY</w:t>
            </w:r>
          </w:p>
        </w:tc>
        <w:tc>
          <w:tcPr>
            <w:tcW w:type="dxa" w:w="1399"/>
            <w:shd w:val="clear" w:color="auto" w:fill="E8EDF5"/>
            <w:tcBorders>
              <w:top w:val="single" w:sz="4" w:color="BDC3C7"/>
              <w:bottom w:val="single" w:sz="4" w:color="BDC3C7"/>
              <w:left w:val="single" w:sz="4" w:color="BDC3C7"/>
              <w:right w:val="single" w:sz="4" w:color="BDC3C7"/>
            </w:tcBorders>
          </w:tcPr>
          <w:p>
            <w:r>
              <w:rPr>
                <w:b/>
              </w:rPr>
              <w:t>30d Δ</w:t>
            </w:r>
          </w:p>
        </w:tc>
        <w:tc>
          <w:tcPr>
            <w:tcW w:type="dxa" w:w="1399"/>
            <w:shd w:val="clear" w:color="auto" w:fill="E8EDF5"/>
            <w:tcBorders>
              <w:top w:val="single" w:sz="4" w:color="BDC3C7"/>
              <w:bottom w:val="single" w:sz="4" w:color="BDC3C7"/>
              <w:left w:val="single" w:sz="4" w:color="BDC3C7"/>
              <w:right w:val="single" w:sz="4" w:color="BDC3C7"/>
            </w:tcBorders>
          </w:tcPr>
          <w:p>
            <w:r>
              <w:rPr>
                <w:b/>
              </w:rPr>
              <w:t>Revs 30d</w:t>
            </w:r>
          </w:p>
        </w:tc>
      </w:tr>
      <w:tr>
        <w:tc>
          <w:tcPr>
            <w:tcW w:type="dxa" w:w="1399"/>
            <w:tcBorders>
              <w:top w:val="single" w:sz="4" w:color="BDC3C7"/>
              <w:bottom w:val="single" w:sz="4" w:color="BDC3C7"/>
              <w:left w:val="single" w:sz="4" w:color="BDC3C7"/>
              <w:right w:val="single" w:sz="4" w:color="BDC3C7"/>
            </w:tcBorders>
          </w:tcPr>
          <w:p>
            <w:r>
              <w:t>Current Quarter</w:t>
            </w:r>
          </w:p>
        </w:tc>
        <w:tc>
          <w:tcPr>
            <w:tcW w:type="dxa" w:w="1399"/>
            <w:tcBorders>
              <w:top w:val="single" w:sz="4" w:color="BDC3C7"/>
              <w:bottom w:val="single" w:sz="4" w:color="BDC3C7"/>
              <w:left w:val="single" w:sz="4" w:color="BDC3C7"/>
              <w:right w:val="single" w:sz="4" w:color="BDC3C7"/>
            </w:tcBorders>
          </w:tcPr>
          <w:p>
            <w:r>
              <w:t>$0.24</w:t>
            </w:r>
          </w:p>
        </w:tc>
        <w:tc>
          <w:tcPr>
            <w:tcW w:type="dxa" w:w="1399"/>
            <w:tcBorders>
              <w:top w:val="single" w:sz="4" w:color="BDC3C7"/>
              <w:bottom w:val="single" w:sz="4" w:color="BDC3C7"/>
              <w:left w:val="single" w:sz="4" w:color="BDC3C7"/>
              <w:right w:val="single" w:sz="4" w:color="BDC3C7"/>
            </w:tcBorders>
          </w:tcPr>
          <w:p>
            <w:r>
              <w:t>$0.19 – $0.30</w:t>
            </w:r>
          </w:p>
        </w:tc>
        <w:tc>
          <w:tcPr>
            <w:tcW w:type="dxa" w:w="1399"/>
            <w:tcBorders>
              <w:top w:val="single" w:sz="4" w:color="BDC3C7"/>
              <w:bottom w:val="single" w:sz="4" w:color="BDC3C7"/>
              <w:left w:val="single" w:sz="4" w:color="BDC3C7"/>
              <w:right w:val="single" w:sz="4" w:color="BDC3C7"/>
            </w:tcBorders>
          </w:tcPr>
          <w:p>
            <w:r>
              <w:t>13</w:t>
            </w:r>
          </w:p>
        </w:tc>
        <w:tc>
          <w:tcPr>
            <w:tcW w:type="dxa" w:w="1399"/>
            <w:tcBorders>
              <w:top w:val="single" w:sz="4" w:color="BDC3C7"/>
              <w:bottom w:val="single" w:sz="4" w:color="BDC3C7"/>
              <w:left w:val="single" w:sz="4" w:color="BDC3C7"/>
              <w:right w:val="single" w:sz="4" w:color="BDC3C7"/>
            </w:tcBorders>
          </w:tcPr>
          <w:p>
            <w:r>
              <w:t>-16.5%</w:t>
            </w:r>
          </w:p>
        </w:tc>
        <w:tc>
          <w:tcPr>
            <w:tcW w:type="dxa" w:w="1399"/>
            <w:tcBorders>
              <w:top w:val="single" w:sz="4" w:color="BDC3C7"/>
              <w:bottom w:val="single" w:sz="4" w:color="BDC3C7"/>
              <w:left w:val="single" w:sz="4" w:color="BDC3C7"/>
              <w:right w:val="single" w:sz="4" w:color="BDC3C7"/>
            </w:tcBorders>
          </w:tcPr>
          <w:p>
            <w:r>
              <w:t>≈ +0.001</w:t>
            </w:r>
          </w:p>
        </w:tc>
        <w:tc>
          <w:tcPr>
            <w:tcW w:type="dxa" w:w="1399"/>
            <w:tcBorders>
              <w:top w:val="single" w:sz="4" w:color="BDC3C7"/>
              <w:bottom w:val="single" w:sz="4" w:color="BDC3C7"/>
              <w:left w:val="single" w:sz="4" w:color="BDC3C7"/>
              <w:right w:val="single" w:sz="4" w:color="BDC3C7"/>
            </w:tcBorders>
          </w:tcPr>
          <w:p>
            <w:r>
              <w:t>↑2 / ↓2</w:t>
            </w:r>
          </w:p>
        </w:tc>
      </w:tr>
      <w:tr>
        <w:tc>
          <w:tcPr>
            <w:tcW w:type="dxa" w:w="1399"/>
            <w:tcBorders>
              <w:top w:val="single" w:sz="4" w:color="BDC3C7"/>
              <w:bottom w:val="single" w:sz="4" w:color="BDC3C7"/>
              <w:left w:val="single" w:sz="4" w:color="BDC3C7"/>
              <w:right w:val="single" w:sz="4" w:color="BDC3C7"/>
            </w:tcBorders>
          </w:tcPr>
          <w:p>
            <w:r>
              <w:t>Next Quarter</w:t>
            </w:r>
          </w:p>
        </w:tc>
        <w:tc>
          <w:tcPr>
            <w:tcW w:type="dxa" w:w="1399"/>
            <w:tcBorders>
              <w:top w:val="single" w:sz="4" w:color="BDC3C7"/>
              <w:bottom w:val="single" w:sz="4" w:color="BDC3C7"/>
              <w:left w:val="single" w:sz="4" w:color="BDC3C7"/>
              <w:right w:val="single" w:sz="4" w:color="BDC3C7"/>
            </w:tcBorders>
          </w:tcPr>
          <w:p>
            <w:r>
              <w:t>$0.35</w:t>
            </w:r>
          </w:p>
        </w:tc>
        <w:tc>
          <w:tcPr>
            <w:tcW w:type="dxa" w:w="1399"/>
            <w:tcBorders>
              <w:top w:val="single" w:sz="4" w:color="BDC3C7"/>
              <w:bottom w:val="single" w:sz="4" w:color="BDC3C7"/>
              <w:left w:val="single" w:sz="4" w:color="BDC3C7"/>
              <w:right w:val="single" w:sz="4" w:color="BDC3C7"/>
            </w:tcBorders>
          </w:tcPr>
          <w:p>
            <w:r>
              <w:t>$0.30 – $0.43</w:t>
            </w:r>
          </w:p>
        </w:tc>
        <w:tc>
          <w:tcPr>
            <w:tcW w:type="dxa" w:w="1399"/>
            <w:tcBorders>
              <w:top w:val="single" w:sz="4" w:color="BDC3C7"/>
              <w:bottom w:val="single" w:sz="4" w:color="BDC3C7"/>
              <w:left w:val="single" w:sz="4" w:color="BDC3C7"/>
              <w:right w:val="single" w:sz="4" w:color="BDC3C7"/>
            </w:tcBorders>
          </w:tcPr>
          <w:p>
            <w:r>
              <w:t>12</w:t>
            </w:r>
          </w:p>
        </w:tc>
        <w:tc>
          <w:tcPr>
            <w:tcW w:type="dxa" w:w="1399"/>
            <w:tcBorders>
              <w:top w:val="single" w:sz="4" w:color="BDC3C7"/>
              <w:bottom w:val="single" w:sz="4" w:color="BDC3C7"/>
              <w:left w:val="single" w:sz="4" w:color="BDC3C7"/>
              <w:right w:val="single" w:sz="4" w:color="BDC3C7"/>
            </w:tcBorders>
          </w:tcPr>
          <w:p>
            <w:r>
              <w:t>-3.3%</w:t>
            </w:r>
          </w:p>
        </w:tc>
        <w:tc>
          <w:tcPr>
            <w:tcW w:type="dxa" w:w="1399"/>
            <w:tcBorders>
              <w:top w:val="single" w:sz="4" w:color="BDC3C7"/>
              <w:bottom w:val="single" w:sz="4" w:color="BDC3C7"/>
              <w:left w:val="single" w:sz="4" w:color="BDC3C7"/>
              <w:right w:val="single" w:sz="4" w:color="BDC3C7"/>
            </w:tcBorders>
          </w:tcPr>
          <w:p>
            <w:r>
              <w:t>≈ +0.004</w:t>
            </w:r>
          </w:p>
        </w:tc>
        <w:tc>
          <w:tcPr>
            <w:tcW w:type="dxa" w:w="1399"/>
            <w:tcBorders>
              <w:top w:val="single" w:sz="4" w:color="BDC3C7"/>
              <w:bottom w:val="single" w:sz="4" w:color="BDC3C7"/>
              <w:left w:val="single" w:sz="4" w:color="BDC3C7"/>
              <w:right w:val="single" w:sz="4" w:color="BDC3C7"/>
            </w:tcBorders>
          </w:tcPr>
          <w:p>
            <w:r>
              <w:t>↑1 / ↓4</w:t>
            </w:r>
          </w:p>
        </w:tc>
      </w:tr>
      <w:tr>
        <w:tc>
          <w:tcPr>
            <w:tcW w:type="dxa" w:w="1399"/>
            <w:tcBorders>
              <w:top w:val="single" w:sz="4" w:color="BDC3C7"/>
              <w:bottom w:val="single" w:sz="4" w:color="BDC3C7"/>
              <w:left w:val="single" w:sz="4" w:color="BDC3C7"/>
              <w:right w:val="single" w:sz="4" w:color="BDC3C7"/>
            </w:tcBorders>
          </w:tcPr>
          <w:p>
            <w:r>
              <w:t>Current Fiscal Year</w:t>
            </w:r>
          </w:p>
        </w:tc>
        <w:tc>
          <w:tcPr>
            <w:tcW w:type="dxa" w:w="1399"/>
            <w:tcBorders>
              <w:top w:val="single" w:sz="4" w:color="BDC3C7"/>
              <w:bottom w:val="single" w:sz="4" w:color="BDC3C7"/>
              <w:left w:val="single" w:sz="4" w:color="BDC3C7"/>
              <w:right w:val="single" w:sz="4" w:color="BDC3C7"/>
            </w:tcBorders>
          </w:tcPr>
          <w:p>
            <w:r>
              <w:t>$1.31</w:t>
            </w:r>
          </w:p>
        </w:tc>
        <w:tc>
          <w:tcPr>
            <w:tcW w:type="dxa" w:w="1399"/>
            <w:tcBorders>
              <w:top w:val="single" w:sz="4" w:color="BDC3C7"/>
              <w:bottom w:val="single" w:sz="4" w:color="BDC3C7"/>
              <w:left w:val="single" w:sz="4" w:color="BDC3C7"/>
              <w:right w:val="single" w:sz="4" w:color="BDC3C7"/>
            </w:tcBorders>
          </w:tcPr>
          <w:p>
            <w:r>
              <w:t>$1.13 – $1.52</w:t>
            </w:r>
          </w:p>
        </w:tc>
        <w:tc>
          <w:tcPr>
            <w:tcW w:type="dxa" w:w="1399"/>
            <w:tcBorders>
              <w:top w:val="single" w:sz="4" w:color="BDC3C7"/>
              <w:bottom w:val="single" w:sz="4" w:color="BDC3C7"/>
              <w:left w:val="single" w:sz="4" w:color="BDC3C7"/>
              <w:right w:val="single" w:sz="4" w:color="BDC3C7"/>
            </w:tcBorders>
          </w:tcPr>
          <w:p>
            <w:r>
              <w:t>13</w:t>
            </w:r>
          </w:p>
        </w:tc>
        <w:tc>
          <w:tcPr>
            <w:tcW w:type="dxa" w:w="1399"/>
            <w:tcBorders>
              <w:top w:val="single" w:sz="4" w:color="BDC3C7"/>
              <w:bottom w:val="single" w:sz="4" w:color="BDC3C7"/>
              <w:left w:val="single" w:sz="4" w:color="BDC3C7"/>
              <w:right w:val="single" w:sz="4" w:color="BDC3C7"/>
            </w:tcBorders>
          </w:tcPr>
          <w:p>
            <w:r>
              <w:t>-1.8%</w:t>
            </w:r>
          </w:p>
        </w:tc>
        <w:tc>
          <w:tcPr>
            <w:tcW w:type="dxa" w:w="1399"/>
            <w:tcBorders>
              <w:top w:val="single" w:sz="4" w:color="BDC3C7"/>
              <w:bottom w:val="single" w:sz="4" w:color="BDC3C7"/>
              <w:left w:val="single" w:sz="4" w:color="BDC3C7"/>
              <w:right w:val="single" w:sz="4" w:color="BDC3C7"/>
            </w:tcBorders>
          </w:tcPr>
          <w:p>
            <w:r>
              <w:t>↑ +0.011</w:t>
            </w:r>
          </w:p>
        </w:tc>
        <w:tc>
          <w:tcPr>
            <w:tcW w:type="dxa" w:w="1399"/>
            <w:tcBorders>
              <w:top w:val="single" w:sz="4" w:color="BDC3C7"/>
              <w:bottom w:val="single" w:sz="4" w:color="BDC3C7"/>
              <w:left w:val="single" w:sz="4" w:color="BDC3C7"/>
              <w:right w:val="single" w:sz="4" w:color="BDC3C7"/>
            </w:tcBorders>
          </w:tcPr>
          <w:p>
            <w:r>
              <w:t>↑1 / ↓4</w:t>
            </w:r>
          </w:p>
        </w:tc>
      </w:tr>
      <w:tr>
        <w:tc>
          <w:tcPr>
            <w:tcW w:type="dxa" w:w="1399"/>
            <w:tcBorders>
              <w:top w:val="single" w:sz="4" w:color="BDC3C7"/>
              <w:bottom w:val="single" w:sz="4" w:color="BDC3C7"/>
              <w:left w:val="single" w:sz="4" w:color="BDC3C7"/>
              <w:right w:val="single" w:sz="4" w:color="BDC3C7"/>
            </w:tcBorders>
          </w:tcPr>
          <w:p>
            <w:r>
              <w:t>Next Fiscal Year</w:t>
            </w:r>
          </w:p>
        </w:tc>
        <w:tc>
          <w:tcPr>
            <w:tcW w:type="dxa" w:w="1399"/>
            <w:tcBorders>
              <w:top w:val="single" w:sz="4" w:color="BDC3C7"/>
              <w:bottom w:val="single" w:sz="4" w:color="BDC3C7"/>
              <w:left w:val="single" w:sz="4" w:color="BDC3C7"/>
              <w:right w:val="single" w:sz="4" w:color="BDC3C7"/>
            </w:tcBorders>
          </w:tcPr>
          <w:p>
            <w:r>
              <w:t>$1.54</w:t>
            </w:r>
          </w:p>
        </w:tc>
        <w:tc>
          <w:tcPr>
            <w:tcW w:type="dxa" w:w="1399"/>
            <w:tcBorders>
              <w:top w:val="single" w:sz="4" w:color="BDC3C7"/>
              <w:bottom w:val="single" w:sz="4" w:color="BDC3C7"/>
              <w:left w:val="single" w:sz="4" w:color="BDC3C7"/>
              <w:right w:val="single" w:sz="4" w:color="BDC3C7"/>
            </w:tcBorders>
          </w:tcPr>
          <w:p>
            <w:r>
              <w:t>$1.40 – $1.72</w:t>
            </w:r>
          </w:p>
        </w:tc>
        <w:tc>
          <w:tcPr>
            <w:tcW w:type="dxa" w:w="1399"/>
            <w:tcBorders>
              <w:top w:val="single" w:sz="4" w:color="BDC3C7"/>
              <w:bottom w:val="single" w:sz="4" w:color="BDC3C7"/>
              <w:left w:val="single" w:sz="4" w:color="BDC3C7"/>
              <w:right w:val="single" w:sz="4" w:color="BDC3C7"/>
            </w:tcBorders>
          </w:tcPr>
          <w:p>
            <w:r>
              <w:t>12</w:t>
            </w:r>
          </w:p>
        </w:tc>
        <w:tc>
          <w:tcPr>
            <w:tcW w:type="dxa" w:w="1399"/>
            <w:tcBorders>
              <w:top w:val="single" w:sz="4" w:color="BDC3C7"/>
              <w:bottom w:val="single" w:sz="4" w:color="BDC3C7"/>
              <w:left w:val="single" w:sz="4" w:color="BDC3C7"/>
              <w:right w:val="single" w:sz="4" w:color="BDC3C7"/>
            </w:tcBorders>
          </w:tcPr>
          <w:p>
            <w:r>
              <w:t>+17.9%</w:t>
            </w:r>
          </w:p>
        </w:tc>
        <w:tc>
          <w:tcPr>
            <w:tcW w:type="dxa" w:w="1399"/>
            <w:tcBorders>
              <w:top w:val="single" w:sz="4" w:color="BDC3C7"/>
              <w:bottom w:val="single" w:sz="4" w:color="BDC3C7"/>
              <w:left w:val="single" w:sz="4" w:color="BDC3C7"/>
              <w:right w:val="single" w:sz="4" w:color="BDC3C7"/>
            </w:tcBorders>
          </w:tcPr>
          <w:p>
            <w:r>
              <w:t>≈ +0.004</w:t>
            </w:r>
          </w:p>
        </w:tc>
        <w:tc>
          <w:tcPr>
            <w:tcW w:type="dxa" w:w="1399"/>
            <w:tcBorders>
              <w:top w:val="single" w:sz="4" w:color="BDC3C7"/>
              <w:bottom w:val="single" w:sz="4" w:color="BDC3C7"/>
              <w:left w:val="single" w:sz="4" w:color="BDC3C7"/>
              <w:right w:val="single" w:sz="4" w:color="BDC3C7"/>
            </w:tcBorders>
          </w:tcPr>
          <w:p>
            <w:r>
              <w:t>↑1 / ↓5</w:t>
            </w:r>
          </w:p>
        </w:tc>
      </w:tr>
    </w:tbl>
    <w:p>
      <w:r>
        <w:t>Revenue consensus: Q $1.58B (-2.1%)  |  Q+1 $1.74B (+0.8%)  |  FY $6.70B (+0.5%)  |  FY+1 $6.93B (+3.5%)</w:t>
      </w:r>
    </w:p>
    <w:p>
      <w:r>
        <w:t>Price targets: Mean $26.08  |  Median $25.50  |  Range $19.00–$35.00  |  Current $20.09 (+29.8% to mean)</w:t>
      </w:r>
    </w:p>
    <w:p>
      <w:r>
        <w:t>Analyst ratings (n=13): Strong Buy 5 · Buy 6 · Hold 2 · Sell 0 · Strong Sell 0  ·  85% bullish</w:t>
      </w:r>
    </w:p>
    <w:p>
      <w:r>
        <w:t>Next earnings: 2026-05-07 (3d out)  ·  EPS $0.24 ($0.19–$0.30)  ·  Rev $1.58B</w:t>
      </w:r>
    </w:p>
    <w:p>
      <w:pPr>
        <w:pStyle w:val="SectionHeading"/>
      </w:pPr>
      <w:r>
        <w:t>1. Research Synthesis</w:t>
      </w:r>
    </w:p>
    <w:p>
      <w:r>
        <w:t>Primo Brands presents a classic post-merger integration story where operational disruptions have masked the underlying business fundamentals, but the path forward appears largely in line with both management guidance and street expectations. The company's Q4 2025 results showed net sales of $1.554B, down 2.5% on a comparable basis, with the decline primarily driven by direct delivery customer base erosion during integration rounds. However, management emphasized that 'early signs that our initiatives are resulting in an improved trajectory for the business' with comparable adjusted EBITDA up 11% to $334.1M and margins expanding 260 basis points to 21.5%.</w:t>
      </w:r>
    </w:p>
    <w:p>
      <w:r>
        <w:t>The sequential trajectory analysis reveals normal seasonal patterns rather than concerning deceleration. Q4 2025 revenue of $1.554B declined 12.0% sequentially from Q3 2025's $1.766B, but this appears consistent with typical beverage industry seasonality where Q4 typically sees sequential declines from Q3 peaks. Without prior-year quarterly comparisons readily available in the corpus, this seasonal pattern cannot be fully verified, but management's confidence in Q4 call suggests this is within normal bounds.</w:t>
      </w:r>
    </w:p>
    <w:p>
      <w:r>
        <w:t>Management's FY2026 guidance provides clear anchoring points: 0-1% organic net sales growth on a base of $6.635B (excluding the exited office coffee service business), adjusted EBITDA of $1.485-1.515B, and adjusted free cash flow of $790-810M. CFO David Hernandez noted on the Q4 call that 'we expect organic net sales growth in the range of 0% to 1%, with the return to growth weighted in the second half' and 'we face a difficult first quarter comparison, cycling 3% year-over-year sales growth.' This guidance framework suggests management expects H1 2026 to remain challenging before inflecting in H2.</w:t>
      </w:r>
    </w:p>
    <w:p>
      <w:r>
        <w:t>The direct delivery recovery represents the key operational catalyst. This channel generated $633.2M in Q4 2025, down 5.3% year-over-year, but management noted month-to-month improvement in customer net additions despite still being negative overall. CEO Eric Foss emphasized that 'integration rounds 6 and 7 on track to be completed within the first half of 2026' per the deck, which should eliminate remaining service disruptions. The direct delivery business historically represented ~40% of total revenue pre-integration, so stabilization here is critical for overall growth recovery.</w:t>
      </w:r>
    </w:p>
    <w:p>
      <w:r>
        <w:t>Premium brand performance provides a bright spot with clear capacity expansion catalysts. Premium Water segment revenue grew 39.1% in Q4 2025 to $90.3M and 43.9% for full year 2025 to $349.9M. Management is investing heavily in capacity expansion with the Mountain Valley Factory expected operational mid-2026 and Saratoga Hawkins expansion operational by spring 2026. These investments should support continued double-digit growth in the premium segment, though the absolute dollar impact remains modest given the segment's ~5% revenue share.</w:t>
      </w:r>
    </w:p>
    <w:p>
      <w:r>
        <w:t>Margin expansion trajectory appears sustainable based on synergy capture progress. Management achieved $140M in estimated annualized cost savings through 2025 integration activities, with comparable adjusted EBITDA margins expanding 170 basis points to 21.7% for full year 2025. The FY2026 EBITDA guidance of $1.485-1.515B on revenue guidance midpoint of ~$6.67B implies margins of 22.3-22.7%, representing 60-100 basis points of further expansion. This progression appears achievable given ongoing synergy realization and the completion of integration rounds 6 and 7.</w:t>
      </w:r>
    </w:p>
    <w:p>
      <w:r>
        <w:t>Capital allocation priorities remain balanced between growth investment and shareholder returns. The company returned $344M to shareholders in 2025 through dividends and buybacks under a $300M program, with $107M remaining available. Base CapEx guidance of 4% of net sales (~$267M on $6.67B revenue) supports maintenance and growth initiatives including the premium brand capacity expansions. Net leverage of 3.37x provides flexibility while management focuses on deleveraging through cash flow generation.</w:t>
      </w:r>
    </w:p>
    <w:p>
      <w:r>
        <w:t>The street's FY2026 EPS consensus of $1.31 appears reasonable when reconciled against management's guidance framework. With EBITDA guidance midpoint of $1.5B, net interest expense likely ~$325M based on current debt levels, and the 44.6% tax rate from FY2025 financials, the implied net income would be ~$510M or $1.36 per share on 374.9M diluted shares. This rough calculation sits close to consensus, suggesting limited edge opportunity.</w:t>
      </w:r>
    </w:p>
    <w:p>
      <w:r>
        <w:t>Risk factors center on direct delivery recovery timing and premium brand capacity utilization. If integration rounds 6 and 7 face delays or customer win-back proves slower than expected, H2 2026 growth recovery could disappoint. Additionally, the premium brand capacity investments represent meaningful CapEx commitments that require strong demand realization to generate returns. However, management's track record of integration execution and the structural tailwinds in bottled water consumption provide reasonable confidence in the base case scenario.</w:t>
      </w:r>
    </w:p>
    <w:p>
      <w:pPr>
        <w:pStyle w:val="ListBullet"/>
      </w:pPr>
      <w:r>
        <w:rPr>
          <w:i/>
        </w:rPr>
        <w:t>→ Research confirms: Primo Brands Q4 2025 net sales of $1.554 billion with a 2.5% decline on comparable basis directly verified across multiple official sources including earnings transcripts and press releases. (fool.com)</w:t>
      </w:r>
    </w:p>
    <w:p>
      <w:pPr>
        <w:pStyle w:val="ListBullet"/>
      </w:pPr>
      <w:r>
        <w:rPr>
          <w:i/>
        </w:rPr>
        <w:t>→ Research [UPDATES]: Mountain Valley Factory timeline differs: sources confirm spring 2026 operational date (not mid-2026 as brief states). Saratoga Hawkins expansion confirmed for spring 2026 as stated. (fool.com)</w:t>
      </w:r>
    </w:p>
    <w:p>
      <w:pPr>
        <w:pStyle w:val="ListBullet"/>
      </w:pPr>
      <w:r>
        <w:rPr>
          <w:i/>
        </w:rPr>
        <w:t>→ Research confirms: Primo Brands completed five of seven integration rounds in 2025; the remaining two rounds (6 and 7) are scheduled for completion in the first half of 2026, directly confirming the claim. (investing.com)</w:t>
      </w:r>
    </w:p>
    <w:p>
      <w:pPr>
        <w:pStyle w:val="ListBullet"/>
      </w:pPr>
      <w:r>
        <w:rPr>
          <w:i/>
        </w:rPr>
        <w:t>→ Research [UPDATES]: Yahoo Finance reports net non-operating interest expense of $334.9M (TTM) and $339.6M (FY 2024), materially higher than the brief's $325M estimate. The $5.1B debt level is confirmed. (yahoo.com)</w:t>
      </w:r>
    </w:p>
    <w:p>
      <w:pPr>
        <w:pStyle w:val="ListBullet"/>
      </w:pPr>
      <w:r>
        <w:rPr>
          <w:i/>
        </w:rPr>
        <w:t>→ Research confirms: Eric Foss has a documented track record of integration execution. At Pepsi Bottling Group, he oversaw substantial acquisition and integration efforts and led the company through its IPO. His career demonstrates proven execution across multiple large-scale integrations in beverage and consumer businesses. (primobrands.com)</w:t>
      </w:r>
    </w:p>
    <w:p>
      <w:pPr>
        <w:pStyle w:val="ListBullet"/>
      </w:pPr>
      <w:r>
        <w:rPr>
          <w:i/>
        </w:rPr>
        <w:t>→ Research: Search confirms multiple PE sponsors with significant exit overhang risk: One Rock Capital Partners holds 33% (via ORCP III DE TopCo GP, LLC), Metropoulos &amp; Co. is co-investor, and Triton Water Parent Holdings LP controls 58% of shares. Former Primo Water shareholders hold only 43% post-merger, creating concentrated sponsor control and potential exit pressure. (simplywall.st)</w:t>
      </w:r>
    </w:p>
    <w:p>
      <w:pPr>
        <w:pStyle w:val="ListBullet"/>
      </w:pPr>
      <w:r>
        <w:rPr>
          <w:i/>
        </w:rPr>
        <w:t>→ Research: Recent insider activity shows buying, not selling concerns. In November 2025 during integration, insiders purchased 128,019 shares (~$2M); March-April 2026 filings show director compensation grants. No evidence of insider selling signaling integration concerns. (stocktitan.net)</w:t>
      </w:r>
    </w:p>
    <w:p>
      <w:pPr>
        <w:pStyle w:val="ListBullet"/>
      </w:pPr>
      <w:r>
        <w:rPr>
          <w:i/>
        </w:rPr>
        <w:t>→ Research: Search results confirm temperature-sensitive demand for bottled water. Academic research shows temperature increases are associated with higher bottled water consumption. Market data reveals seasonal peaks in sparkling water searches in August-September (summer months), supporting the thesis that weather conditions materially impact volumes. (sciencedirect.com)</w:t>
      </w:r>
    </w:p>
    <w:p>
      <w:pPr>
        <w:pStyle w:val="ListBullet"/>
      </w:pPr>
      <w:r>
        <w:rPr>
          <w:i/>
        </w:rPr>
        <w:t>→ Research: Search confirms PRMB operates in bottled/canned soft drinks sector with 18 public competitors; however, no specific 2025 peer M&amp;A moves or guidance disclosed. Recent major M&amp;A: Primo Water-BlueTriton merger closed Nov 2024, creating $6.7B revenue entity. Competitive positioning shows PRMB trading at premium valuation vs. peers with lower growth upside consensus. (primobrands.com)</w:t>
      </w:r>
    </w:p>
    <w:p>
      <w:pPr>
        <w:pStyle w:val="SubHeading"/>
      </w:pPr>
      <w:r>
        <w:t>Published anchors (reference):</w:t>
      </w:r>
    </w:p>
    <w:tbl>
      <w:tblPr>
        <w:tblW w:type="auto" w:w="0"/>
        <w:tblLook w:firstColumn="1" w:firstRow="1" w:lastColumn="0" w:lastRow="0" w:noHBand="0" w:noVBand="1" w:val="04A0"/>
      </w:tblPr>
      <w:tblGrid>
        <w:gridCol w:w="3264"/>
        <w:gridCol w:w="3264"/>
        <w:gridCol w:w="3264"/>
      </w:tblGrid>
      <w:tr>
        <w:tc>
          <w:tcPr>
            <w:tcW w:type="dxa" w:w="3264"/>
            <w:shd w:val="clear" w:color="auto" w:fill="E8EDF5"/>
            <w:tcBorders>
              <w:top w:val="single" w:sz="4" w:color="BDC3C7"/>
              <w:bottom w:val="single" w:sz="4" w:color="BDC3C7"/>
              <w:left w:val="single" w:sz="4" w:color="BDC3C7"/>
              <w:right w:val="single" w:sz="4" w:color="BDC3C7"/>
            </w:tcBorders>
          </w:tcPr>
          <w:p>
            <w:r>
              <w:rPr>
                <w:b/>
              </w:rPr>
              <w:t>Period</w:t>
            </w:r>
          </w:p>
        </w:tc>
        <w:tc>
          <w:tcPr>
            <w:tcW w:type="dxa" w:w="3264"/>
            <w:shd w:val="clear" w:color="auto" w:fill="E8EDF5"/>
            <w:tcBorders>
              <w:top w:val="single" w:sz="4" w:color="BDC3C7"/>
              <w:bottom w:val="single" w:sz="4" w:color="BDC3C7"/>
              <w:left w:val="single" w:sz="4" w:color="BDC3C7"/>
              <w:right w:val="single" w:sz="4" w:color="BDC3C7"/>
            </w:tcBorders>
          </w:tcPr>
          <w:p>
            <w:r>
              <w:rPr>
                <w:b/>
              </w:rPr>
              <w:t>EPS</w:t>
            </w:r>
          </w:p>
        </w:tc>
        <w:tc>
          <w:tcPr>
            <w:tcW w:type="dxa" w:w="3264"/>
            <w:shd w:val="clear" w:color="auto" w:fill="E8EDF5"/>
            <w:tcBorders>
              <w:top w:val="single" w:sz="4" w:color="BDC3C7"/>
              <w:bottom w:val="single" w:sz="4" w:color="BDC3C7"/>
              <w:left w:val="single" w:sz="4" w:color="BDC3C7"/>
              <w:right w:val="single" w:sz="4" w:color="BDC3C7"/>
            </w:tcBorders>
          </w:tcPr>
          <w:p>
            <w:r>
              <w:rPr>
                <w:b/>
              </w:rPr>
              <w:t>Revenue</w:t>
            </w:r>
          </w:p>
        </w:tc>
      </w:tr>
      <w:tr>
        <w:tc>
          <w:tcPr>
            <w:tcW w:type="dxa" w:w="3264"/>
            <w:tcBorders>
              <w:top w:val="single" w:sz="4" w:color="BDC3C7"/>
              <w:bottom w:val="single" w:sz="4" w:color="BDC3C7"/>
              <w:left w:val="single" w:sz="4" w:color="BDC3C7"/>
              <w:right w:val="single" w:sz="4" w:color="BDC3C7"/>
            </w:tcBorders>
          </w:tcPr>
          <w:p>
            <w:r>
              <w:t>Current Q</w:t>
            </w:r>
          </w:p>
        </w:tc>
        <w:tc>
          <w:tcPr>
            <w:tcW w:type="dxa" w:w="3264"/>
            <w:tcBorders>
              <w:top w:val="single" w:sz="4" w:color="BDC3C7"/>
              <w:bottom w:val="single" w:sz="4" w:color="BDC3C7"/>
              <w:left w:val="single" w:sz="4" w:color="BDC3C7"/>
              <w:right w:val="single" w:sz="4" w:color="BDC3C7"/>
            </w:tcBorders>
          </w:tcPr>
          <w:p>
            <w:r>
              <w:t>$0.24</w:t>
            </w:r>
          </w:p>
        </w:tc>
        <w:tc>
          <w:tcPr>
            <w:tcW w:type="dxa" w:w="3264"/>
            <w:tcBorders>
              <w:top w:val="single" w:sz="4" w:color="BDC3C7"/>
              <w:bottom w:val="single" w:sz="4" w:color="BDC3C7"/>
              <w:left w:val="single" w:sz="4" w:color="BDC3C7"/>
              <w:right w:val="single" w:sz="4" w:color="BDC3C7"/>
            </w:tcBorders>
          </w:tcPr>
          <w:p>
            <w:r>
              <w:t>$1,579M</w:t>
            </w:r>
          </w:p>
        </w:tc>
      </w:tr>
      <w:tr>
        <w:tc>
          <w:tcPr>
            <w:tcW w:type="dxa" w:w="3264"/>
            <w:tcBorders>
              <w:top w:val="single" w:sz="4" w:color="BDC3C7"/>
              <w:bottom w:val="single" w:sz="4" w:color="BDC3C7"/>
              <w:left w:val="single" w:sz="4" w:color="BDC3C7"/>
              <w:right w:val="single" w:sz="4" w:color="BDC3C7"/>
            </w:tcBorders>
          </w:tcPr>
          <w:p>
            <w:r>
              <w:t>Next Q</w:t>
            </w:r>
          </w:p>
        </w:tc>
        <w:tc>
          <w:tcPr>
            <w:tcW w:type="dxa" w:w="3264"/>
            <w:tcBorders>
              <w:top w:val="single" w:sz="4" w:color="BDC3C7"/>
              <w:bottom w:val="single" w:sz="4" w:color="BDC3C7"/>
              <w:left w:val="single" w:sz="4" w:color="BDC3C7"/>
              <w:right w:val="single" w:sz="4" w:color="BDC3C7"/>
            </w:tcBorders>
          </w:tcPr>
          <w:p>
            <w:r>
              <w:t>$0.35</w:t>
            </w:r>
          </w:p>
        </w:tc>
        <w:tc>
          <w:tcPr>
            <w:tcW w:type="dxa" w:w="3264"/>
            <w:tcBorders>
              <w:top w:val="single" w:sz="4" w:color="BDC3C7"/>
              <w:bottom w:val="single" w:sz="4" w:color="BDC3C7"/>
              <w:left w:val="single" w:sz="4" w:color="BDC3C7"/>
              <w:right w:val="single" w:sz="4" w:color="BDC3C7"/>
            </w:tcBorders>
          </w:tcPr>
          <w:p>
            <w:r>
              <w:t>$1,744M</w:t>
            </w:r>
          </w:p>
        </w:tc>
      </w:tr>
      <w:tr>
        <w:tc>
          <w:tcPr>
            <w:tcW w:type="dxa" w:w="3264"/>
            <w:tcBorders>
              <w:top w:val="single" w:sz="4" w:color="BDC3C7"/>
              <w:bottom w:val="single" w:sz="4" w:color="BDC3C7"/>
              <w:left w:val="single" w:sz="4" w:color="BDC3C7"/>
              <w:right w:val="single" w:sz="4" w:color="BDC3C7"/>
            </w:tcBorders>
          </w:tcPr>
          <w:p>
            <w:r>
              <w:t>Current FY</w:t>
            </w:r>
          </w:p>
        </w:tc>
        <w:tc>
          <w:tcPr>
            <w:tcW w:type="dxa" w:w="3264"/>
            <w:tcBorders>
              <w:top w:val="single" w:sz="4" w:color="BDC3C7"/>
              <w:bottom w:val="single" w:sz="4" w:color="BDC3C7"/>
              <w:left w:val="single" w:sz="4" w:color="BDC3C7"/>
              <w:right w:val="single" w:sz="4" w:color="BDC3C7"/>
            </w:tcBorders>
          </w:tcPr>
          <w:p>
            <w:r>
              <w:t>$1.31</w:t>
            </w:r>
          </w:p>
        </w:tc>
        <w:tc>
          <w:tcPr>
            <w:tcW w:type="dxa" w:w="3264"/>
            <w:tcBorders>
              <w:top w:val="single" w:sz="4" w:color="BDC3C7"/>
              <w:bottom w:val="single" w:sz="4" w:color="BDC3C7"/>
              <w:left w:val="single" w:sz="4" w:color="BDC3C7"/>
              <w:right w:val="single" w:sz="4" w:color="BDC3C7"/>
            </w:tcBorders>
          </w:tcPr>
          <w:p>
            <w:r>
              <w:t>$6,696M</w:t>
            </w:r>
          </w:p>
        </w:tc>
      </w:tr>
      <w:tr>
        <w:tc>
          <w:tcPr>
            <w:tcW w:type="dxa" w:w="3264"/>
            <w:tcBorders>
              <w:top w:val="single" w:sz="4" w:color="BDC3C7"/>
              <w:bottom w:val="single" w:sz="4" w:color="BDC3C7"/>
              <w:left w:val="single" w:sz="4" w:color="BDC3C7"/>
              <w:right w:val="single" w:sz="4" w:color="BDC3C7"/>
            </w:tcBorders>
          </w:tcPr>
          <w:p>
            <w:r>
              <w:t>Next FY</w:t>
            </w:r>
          </w:p>
        </w:tc>
        <w:tc>
          <w:tcPr>
            <w:tcW w:type="dxa" w:w="3264"/>
            <w:tcBorders>
              <w:top w:val="single" w:sz="4" w:color="BDC3C7"/>
              <w:bottom w:val="single" w:sz="4" w:color="BDC3C7"/>
              <w:left w:val="single" w:sz="4" w:color="BDC3C7"/>
              <w:right w:val="single" w:sz="4" w:color="BDC3C7"/>
            </w:tcBorders>
          </w:tcPr>
          <w:p>
            <w:r>
              <w:t>$1.54</w:t>
            </w:r>
          </w:p>
        </w:tc>
        <w:tc>
          <w:tcPr>
            <w:tcW w:type="dxa" w:w="3264"/>
            <w:tcBorders>
              <w:top w:val="single" w:sz="4" w:color="BDC3C7"/>
              <w:bottom w:val="single" w:sz="4" w:color="BDC3C7"/>
              <w:left w:val="single" w:sz="4" w:color="BDC3C7"/>
              <w:right w:val="single" w:sz="4" w:color="BDC3C7"/>
            </w:tcBorders>
          </w:tcPr>
          <w:p>
            <w:r>
              <w:t>$6,933M</w:t>
            </w:r>
          </w:p>
        </w:tc>
      </w:tr>
    </w:tbl>
    <w:p>
      <w:pPr>
        <w:pStyle w:val="SubHeading"/>
      </w:pPr>
      <w:r>
        <w:t>Management guidance:</w:t>
      </w:r>
    </w:p>
    <w:p>
      <w:pPr>
        <w:pStyle w:val="ListBullet"/>
      </w:pPr>
      <w:r>
        <w:t>Capacity Expansion Timing (mid-2026): Mountain Valley Factory expected to be operational mid-2026  — Deck p.4</w:t>
      </w:r>
    </w:p>
    <w:p>
      <w:pPr>
        <w:pStyle w:val="ListBullet"/>
      </w:pPr>
      <w:r>
        <w:t>Capacity Expansion Timing (spring 2026): Saratoga Hawkins expansion expected to be operational by spring 2026  — Deck p.4</w:t>
      </w:r>
    </w:p>
    <w:p>
      <w:pPr>
        <w:pStyle w:val="ListBullet"/>
      </w:pPr>
      <w:r>
        <w:t>Integration Completion Timing (first half of 2026): Integration rounds 6 and 7 on track to be completed within the first half of 2026  — Deck p.6</w:t>
      </w:r>
    </w:p>
    <w:p>
      <w:pPr>
        <w:pStyle w:val="ListBullet"/>
      </w:pPr>
      <w:r>
        <w:t>Revenue (FY2026): 0% to 1%  — Deck p.13</w:t>
      </w:r>
    </w:p>
    <w:p>
      <w:pPr>
        <w:pStyle w:val="ListBullet"/>
      </w:pPr>
      <w:r>
        <w:t>Adj. EBITDA (FY2026): $1,485 to $1,515  — Deck p.13</w:t>
      </w:r>
    </w:p>
    <w:p>
      <w:pPr>
        <w:pStyle w:val="ListBullet"/>
      </w:pPr>
      <w:r>
        <w:t>CapEx (FY2026): 4% of Net Sales  — Deck p.13</w:t>
      </w:r>
    </w:p>
    <w:p>
      <w:pPr>
        <w:pStyle w:val="ListBullet"/>
      </w:pPr>
      <w:r>
        <w:t>Free Cash Flow (FY2026): $790 to $810  — Deck p.13</w:t>
      </w:r>
    </w:p>
    <w:p>
      <w:pPr>
        <w:pStyle w:val="SectionHeading"/>
      </w:pPr>
      <w:r>
        <w:t>2. Drivers</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2448"/>
            <w:shd w:val="clear" w:color="auto" w:fill="E8EDF5"/>
            <w:tcBorders>
              <w:top w:val="single" w:sz="4" w:color="BDC3C7"/>
              <w:bottom w:val="single" w:sz="4" w:color="BDC3C7"/>
              <w:left w:val="single" w:sz="4" w:color="BDC3C7"/>
              <w:right w:val="single" w:sz="4" w:color="BDC3C7"/>
            </w:tcBorders>
          </w:tcPr>
          <w:p>
            <w:r>
              <w:rPr>
                <w:b/>
              </w:rPr>
              <w:t>Value</w:t>
            </w:r>
          </w:p>
        </w:tc>
        <w:tc>
          <w:tcPr>
            <w:tcW w:type="dxa" w:w="2448"/>
            <w:shd w:val="clear" w:color="auto" w:fill="E8EDF5"/>
            <w:tcBorders>
              <w:top w:val="single" w:sz="4" w:color="BDC3C7"/>
              <w:bottom w:val="single" w:sz="4" w:color="BDC3C7"/>
              <w:left w:val="single" w:sz="4" w:color="BDC3C7"/>
              <w:right w:val="single" w:sz="4" w:color="BDC3C7"/>
            </w:tcBorders>
          </w:tcPr>
          <w:p>
            <w:r>
              <w:rPr>
                <w:b/>
              </w:rPr>
              <w:t>Conf.</w:t>
            </w:r>
          </w:p>
        </w:tc>
        <w:tc>
          <w:tcPr>
            <w:tcW w:type="dxa" w:w="244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2448"/>
            <w:tcBorders>
              <w:top w:val="single" w:sz="4" w:color="BDC3C7"/>
              <w:bottom w:val="single" w:sz="4" w:color="BDC3C7"/>
              <w:left w:val="single" w:sz="4" w:color="BDC3C7"/>
              <w:right w:val="single" w:sz="4" w:color="BDC3C7"/>
            </w:tcBorders>
          </w:tcPr>
          <w:p>
            <w:r>
              <w:rPr>
                <w:b/>
              </w:rPr>
              <w:t>revenue_growth</w:t>
            </w:r>
          </w:p>
        </w:tc>
        <w:tc>
          <w:tcPr>
            <w:tcW w:type="dxa" w:w="2448"/>
            <w:tcBorders>
              <w:top w:val="single" w:sz="4" w:color="BDC3C7"/>
              <w:bottom w:val="single" w:sz="4" w:color="BDC3C7"/>
              <w:left w:val="single" w:sz="4" w:color="BDC3C7"/>
              <w:right w:val="single" w:sz="4" w:color="BDC3C7"/>
            </w:tcBorders>
          </w:tcPr>
          <w:p>
            <w:r>
              <w:rPr>
                <w:b/>
              </w:rPr>
              <w:t>+0.26%</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organic_revenue_growth</w:t>
            </w:r>
          </w:p>
        </w:tc>
        <w:tc>
          <w:tcPr>
            <w:tcW w:type="dxa" w:w="2448"/>
            <w:tcBorders>
              <w:top w:val="single" w:sz="4" w:color="BDC3C7"/>
              <w:bottom w:val="single" w:sz="4" w:color="BDC3C7"/>
              <w:left w:val="single" w:sz="4" w:color="BDC3C7"/>
              <w:right w:val="single" w:sz="4" w:color="BDC3C7"/>
            </w:tcBorders>
          </w:tcPr>
          <w:p>
            <w:r>
              <w:t>+0.26%</w:t>
            </w:r>
          </w:p>
        </w:tc>
        <w:tc>
          <w:tcPr>
            <w:tcW w:type="dxa" w:w="2448"/>
            <w:tcBorders>
              <w:top w:val="single" w:sz="4" w:color="BDC3C7"/>
              <w:bottom w:val="single" w:sz="4" w:color="BDC3C7"/>
              <w:left w:val="single" w:sz="4" w:color="BDC3C7"/>
              <w:right w:val="single" w:sz="4" w:color="BDC3C7"/>
            </w:tcBorders>
          </w:tcPr>
          <w:p>
            <w:r>
              <w:t>0.60</w:t>
            </w:r>
          </w:p>
        </w:tc>
        <w:tc>
          <w:tcPr>
            <w:tcW w:type="dxa" w:w="2448"/>
            <w:tcBorders>
              <w:top w:val="single" w:sz="4" w:color="BDC3C7"/>
              <w:bottom w:val="single" w:sz="4" w:color="BDC3C7"/>
              <w:left w:val="single" w:sz="4" w:color="BDC3C7"/>
              <w:right w:val="single" w:sz="4" w:color="BDC3C7"/>
            </w:tcBorders>
          </w:tcPr>
          <w:p>
            <w:r>
              <w:t>Management guides 0-1% organic net sales growth for FY2026 with recovery weighted to second half. On the Q4 2026 call, CFO David Hernandez stated 'we expect organic net sales growth in the range of 0% to 1%, with the ret</w:t>
            </w:r>
          </w:p>
        </w:tc>
      </w:tr>
    </w:tbl>
    <w:p>
      <w:pPr>
        <w:pStyle w:val="SubHeading"/>
      </w:pPr>
      <w:r>
        <w:t>Bear revisions:</w:t>
      </w:r>
    </w:p>
    <w:p>
      <w:pPr>
        <w:pStyle w:val="ListBullet"/>
      </w:pPr>
      <w:r>
        <w:t>revenue_growth.organic_revenue_growth: 0.43 → -1.0 — If direct delivery recovery stalls and integration rounds 6-7 face delays, organic growth could turn negative despite premium brand strength</w:t>
      </w:r>
    </w:p>
    <w:p>
      <w:pPr>
        <w:pStyle w:val="SectionHeading"/>
      </w:pPr>
      <w:r>
        <w:t>3. Consensus Gap &amp; Valuation</w:t>
      </w:r>
    </w:p>
    <w:p>
      <w:r>
        <w:t>Our EPS: $1.31  =  baseline $1.31  +  Σ claim impacts $+0.00 (0.0% below consensus $1.31)</w:t>
      </w:r>
    </w:p>
    <w:p>
      <w:pPr>
        <w:pStyle w:val="SubHeading"/>
      </w:pPr>
      <w:r>
        <w:t>EPS Bridge (consensus baseline + flow-through):</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Line</w:t>
            </w:r>
          </w:p>
        </w:tc>
        <w:tc>
          <w:tcPr>
            <w:tcW w:type="dxa" w:w="2448"/>
            <w:shd w:val="clear" w:color="auto" w:fill="E8EDF5"/>
            <w:tcBorders>
              <w:top w:val="single" w:sz="4" w:color="BDC3C7"/>
              <w:bottom w:val="single" w:sz="4" w:color="BDC3C7"/>
              <w:left w:val="single" w:sz="4" w:color="BDC3C7"/>
              <w:right w:val="single" w:sz="4" w:color="BDC3C7"/>
            </w:tcBorders>
          </w:tcPr>
          <w:p>
            <w:r>
              <w:rPr>
                <w:b/>
              </w:rPr>
              <w:t>Anchor / Δ</w:t>
            </w:r>
          </w:p>
        </w:tc>
        <w:tc>
          <w:tcPr>
            <w:tcW w:type="dxa" w:w="2448"/>
            <w:shd w:val="clear" w:color="auto" w:fill="E8EDF5"/>
            <w:tcBorders>
              <w:top w:val="single" w:sz="4" w:color="BDC3C7"/>
              <w:bottom w:val="single" w:sz="4" w:color="BDC3C7"/>
              <w:left w:val="single" w:sz="4" w:color="BDC3C7"/>
              <w:right w:val="single" w:sz="4" w:color="BDC3C7"/>
            </w:tcBorders>
          </w:tcPr>
          <w:p>
            <w:r>
              <w:rPr>
                <w:b/>
              </w:rPr>
              <w:t>Flow-through</w:t>
            </w:r>
          </w:p>
        </w:tc>
        <w:tc>
          <w:tcPr>
            <w:tcW w:type="dxa" w:w="2448"/>
            <w:shd w:val="clear" w:color="auto" w:fill="E8EDF5"/>
            <w:tcBorders>
              <w:top w:val="single" w:sz="4" w:color="BDC3C7"/>
              <w:bottom w:val="single" w:sz="4" w:color="BDC3C7"/>
              <w:left w:val="single" w:sz="4" w:color="BDC3C7"/>
              <w:right w:val="single" w:sz="4" w:color="BDC3C7"/>
            </w:tcBorders>
          </w:tcPr>
          <w:p>
            <w:r>
              <w:rPr>
                <w:b/>
              </w:rPr>
              <w:t>EPS impact</w:t>
            </w:r>
          </w:p>
        </w:tc>
      </w:tr>
      <w:tr>
        <w:tc>
          <w:tcPr>
            <w:tcW w:type="dxa" w:w="2448"/>
            <w:tcBorders>
              <w:top w:val="single" w:sz="4" w:color="BDC3C7"/>
              <w:bottom w:val="single" w:sz="4" w:color="BDC3C7"/>
              <w:left w:val="single" w:sz="4" w:color="BDC3C7"/>
              <w:right w:val="single" w:sz="4" w:color="BDC3C7"/>
            </w:tcBorders>
          </w:tcPr>
          <w:p>
            <w:r>
              <w:rPr>
                <w:b/>
              </w:rPr>
              <w:t>Baseline</w:t>
            </w:r>
          </w:p>
        </w:tc>
        <w:tc>
          <w:tcPr>
            <w:tcW w:type="dxa" w:w="2448"/>
            <w:tcBorders>
              <w:top w:val="single" w:sz="4" w:color="BDC3C7"/>
              <w:bottom w:val="single" w:sz="4" w:color="BDC3C7"/>
              <w:left w:val="single" w:sz="4" w:color="BDC3C7"/>
              <w:right w:val="single" w:sz="4" w:color="BDC3C7"/>
            </w:tcBorders>
          </w:tcPr>
          <w:p>
            <w:r>
              <w:rPr>
                <w:b/>
              </w:rPr>
              <w:t>Revenue: FY guidance midpoint; EPS: FY consensus EPS</w:t>
            </w:r>
          </w:p>
        </w:tc>
        <w:tc>
          <w:tcPr>
            <w:tcW w:type="dxa" w:w="2448"/>
            <w:tcBorders>
              <w:top w:val="single" w:sz="4" w:color="BDC3C7"/>
              <w:bottom w:val="single" w:sz="4" w:color="BDC3C7"/>
              <w:left w:val="single" w:sz="4" w:color="BDC3C7"/>
              <w:right w:val="single" w:sz="4" w:color="BDC3C7"/>
            </w:tcBorders>
          </w:tcPr>
          <w:p>
            <w:r>
              <w:rPr>
                <w:b/>
              </w:rPr>
              <w:t>—</w:t>
            </w:r>
          </w:p>
        </w:tc>
        <w:tc>
          <w:tcPr>
            <w:tcW w:type="dxa" w:w="2448"/>
            <w:tcBorders>
              <w:top w:val="single" w:sz="4" w:color="BDC3C7"/>
              <w:bottom w:val="single" w:sz="4" w:color="BDC3C7"/>
              <w:left w:val="single" w:sz="4" w:color="BDC3C7"/>
              <w:right w:val="single" w:sz="4" w:color="BDC3C7"/>
            </w:tcBorders>
          </w:tcPr>
          <w:p>
            <w:r>
              <w:rPr>
                <w:b/>
              </w:rPr>
              <w:t>$1.31</w:t>
            </w:r>
          </w:p>
        </w:tc>
      </w:tr>
      <w:tr>
        <w:tc>
          <w:tcPr>
            <w:tcW w:type="dxa" w:w="2448"/>
            <w:shd w:val="clear" w:color="auto" w:fill="E8EDF5"/>
            <w:tcBorders>
              <w:top w:val="single" w:sz="4" w:color="BDC3C7"/>
              <w:bottom w:val="single" w:sz="4" w:color="BDC3C7"/>
              <w:left w:val="single" w:sz="4" w:color="BDC3C7"/>
              <w:right w:val="single" w:sz="4" w:color="BDC3C7"/>
            </w:tcBorders>
          </w:tcPr>
          <w:p>
            <w:r>
              <w:rPr>
                <w:i/>
              </w:rPr>
              <w:t>Σ Δ</w:t>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t>+0.00</w:t>
            </w:r>
          </w:p>
        </w:tc>
      </w:tr>
      <w:tr>
        <w:tc>
          <w:tcPr>
            <w:tcW w:type="dxa" w:w="2448"/>
            <w:shd w:val="clear" w:color="auto" w:fill="E8EDF5"/>
            <w:tcBorders>
              <w:top w:val="single" w:sz="4" w:color="BDC3C7"/>
              <w:bottom w:val="single" w:sz="4" w:color="BDC3C7"/>
              <w:left w:val="single" w:sz="4" w:color="BDC3C7"/>
              <w:right w:val="single" w:sz="4" w:color="BDC3C7"/>
            </w:tcBorders>
          </w:tcPr>
          <w:p>
            <w:r>
              <w:rPr>
                <w:b/>
              </w:rPr>
              <w:t>Our EPS</w:t>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t>$1.31</w:t>
            </w:r>
          </w:p>
        </w:tc>
      </w:tr>
    </w:tbl>
    <w:p>
      <w:pPr>
        <w:pStyle w:val="PullQuote"/>
      </w:pPr>
      <w:r>
        <w:t xml:space="preserve">  ⚠ Baseline P&amp;L could not be constructed (missing consensus or shares); EPS build degraded to baseline EPS only.</w:t>
      </w:r>
    </w:p>
    <w:p>
      <w:r>
        <w:t>Our estimate is $1.60 (122.2%) below consensus $1.31. No single driver within plausible bounds can close the gap to consensus when other drivers are held at our values; the EPS variant is diffuse (top magnitude: revenue_growth.organic_revenue_growth). Variant appears NOT fully priced in based on available market data. Next catalyst: Next quarterly earnings report (2026-05-07 (3 days)). Time horizon: trade.</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w:t>
            </w:r>
          </w:p>
        </w:tc>
        <w:tc>
          <w:tcPr>
            <w:tcW w:type="dxa" w:w="1958"/>
            <w:shd w:val="clear" w:color="auto" w:fill="E8EDF5"/>
            <w:tcBorders>
              <w:top w:val="single" w:sz="4" w:color="BDC3C7"/>
              <w:bottom w:val="single" w:sz="4" w:color="BDC3C7"/>
              <w:left w:val="single" w:sz="4" w:color="BDC3C7"/>
              <w:right w:val="single" w:sz="4" w:color="BDC3C7"/>
            </w:tcBorders>
          </w:tcPr>
          <w:p>
            <w:r>
              <w:rPr>
                <w:b/>
              </w:rPr>
              <w:t>Ours</w:t>
            </w:r>
          </w:p>
        </w:tc>
        <w:tc>
          <w:tcPr>
            <w:tcW w:type="dxa" w:w="1958"/>
            <w:shd w:val="clear" w:color="auto" w:fill="E8EDF5"/>
            <w:tcBorders>
              <w:top w:val="single" w:sz="4" w:color="BDC3C7"/>
              <w:bottom w:val="single" w:sz="4" w:color="BDC3C7"/>
              <w:left w:val="single" w:sz="4" w:color="BDC3C7"/>
              <w:right w:val="single" w:sz="4" w:color="BDC3C7"/>
            </w:tcBorders>
          </w:tcPr>
          <w:p>
            <w:r>
              <w:rPr>
                <w:b/>
              </w:rPr>
              <w:t>Street</w:t>
            </w:r>
          </w:p>
        </w:tc>
        <w:tc>
          <w:tcPr>
            <w:tcW w:type="dxa" w:w="1958"/>
            <w:shd w:val="clear" w:color="auto" w:fill="E8EDF5"/>
            <w:tcBorders>
              <w:top w:val="single" w:sz="4" w:color="BDC3C7"/>
              <w:bottom w:val="single" w:sz="4" w:color="BDC3C7"/>
              <w:left w:val="single" w:sz="4" w:color="BDC3C7"/>
              <w:right w:val="single" w:sz="4" w:color="BDC3C7"/>
            </w:tcBorders>
          </w:tcPr>
          <w:p>
            <w:r>
              <w:rPr>
                <w:b/>
              </w:rPr>
              <w:t>Δ EPS</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r>
      <w:tr>
        <w:tc>
          <w:tcPr>
            <w:tcW w:type="dxa" w:w="1958"/>
            <w:tcBorders>
              <w:top w:val="single" w:sz="4" w:color="BDC3C7"/>
              <w:bottom w:val="single" w:sz="4" w:color="BDC3C7"/>
              <w:left w:val="single" w:sz="4" w:color="BDC3C7"/>
              <w:right w:val="single" w:sz="4" w:color="BDC3C7"/>
            </w:tcBorders>
          </w:tcPr>
          <w:p>
            <w:r>
              <w:t>revenue_growth.organic_revenue_growth</w:t>
            </w:r>
          </w:p>
        </w:tc>
        <w:tc>
          <w:tcPr>
            <w:tcW w:type="dxa" w:w="1958"/>
            <w:tcBorders>
              <w:top w:val="single" w:sz="4" w:color="BDC3C7"/>
              <w:bottom w:val="single" w:sz="4" w:color="BDC3C7"/>
              <w:left w:val="single" w:sz="4" w:color="BDC3C7"/>
              <w:right w:val="single" w:sz="4" w:color="BDC3C7"/>
            </w:tcBorders>
          </w:tcPr>
          <w:p>
            <w:r>
              <w:t>+0.26</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0.55</w:t>
            </w:r>
          </w:p>
        </w:tc>
      </w:tr>
    </w:tbl>
    <w:p>
      <w:pPr>
        <w:pStyle w:val="PullQuote"/>
      </w:pPr>
      <w:r>
        <w:t>Rows marked 'n/a (unreachable)' mean no single value of that driver within plausible bounds would produce consensus EPS when other drivers are held at our values — i.e., the EPS gap can't be attributed to that driver alone. The ΔEPS column is not shown for those rows because the implied-street value would be a search-bound artifact, not a real derivation.</w:t>
      </w:r>
    </w:p>
    <w:p>
      <w:r>
        <w:t>Priced in: not fully — Variant (-122.2%) exceeds implied move (5.7%). Short interest 40.4% neutral</w:t>
      </w:r>
    </w:p>
    <w:p>
      <w:r>
        <w:t>Edge verdict: ACTIONABLE_EDGE (score 0.400).</w:t>
      </w:r>
    </w:p>
    <w:p>
      <w:pPr>
        <w:pStyle w:val="SectionHeading"/>
      </w:pPr>
      <w:r>
        <w:t>4. Catalysts</w:t>
      </w:r>
    </w:p>
    <w:p>
      <w:pPr>
        <w:pStyle w:val="ListBullet"/>
      </w:pPr>
      <w:r>
        <w:t>Next quarterly earnings report (2026-05-07 (3 days)) — resolves revenue + margins + guidance; confirms or challenges</w:t>
      </w:r>
    </w:p>
    <w:p>
      <w:pPr>
        <w:pStyle w:val="ListBullet"/>
      </w:pPr>
      <w:r>
        <w:t>Resolution: Direct delivery will recover smoothly in H2 2026 (Resolves at earnings (2026-05-07)) — resolves revenue_growth; confirms or challenges</w:t>
      </w:r>
    </w:p>
    <w:p>
      <w:pPr>
        <w:pStyle w:val="ListBullet"/>
      </w:pPr>
      <w:r>
        <w:t>Specific customer retention rates and win-back metrics for direct delivery business (Unknown timing) — resolves multiple; resolves uncertainty</w:t>
      </w:r>
    </w:p>
    <w:p>
      <w:pPr>
        <w:pStyle w:val="ListBullet"/>
      </w:pPr>
      <w:r>
        <w:t>Detailed capacity utilization targets for Mountain Valley and Saratoga expansions (Unknown timing) — resolves multiple; resolves uncertainty</w:t>
      </w:r>
    </w:p>
    <w:p>
      <w:pPr>
        <w:pStyle w:val="SectionHeading"/>
      </w:pPr>
      <w:r>
        <w:t>5. Risks, Blind Spots &amp; Kill Criteria</w:t>
      </w:r>
    </w:p>
    <w:p>
      <w:pPr>
        <w:pStyle w:val="SubHeading"/>
      </w:pPr>
      <w:r>
        <w:t>Top risks:</w:t>
      </w:r>
    </w:p>
    <w:p>
      <w:pPr>
        <w:pStyle w:val="ListBullet"/>
      </w:pPr>
      <w:r>
        <w:t>Direct delivery will recover smoothly in H2 2026 — counter: Customer net additions remain negative despite month-to-month improvement, and integration rounds 6 and 7 still pending completion in H1 2026. Historical integration disruptions lasted longer than initially expected. [moderate]</w:t>
      </w:r>
    </w:p>
    <w:p>
      <w:pPr>
        <w:pStyle w:val="KillCriteria"/>
      </w:pPr>
      <w:r>
        <w:t>What would change our mind: Unable to close gap: Specific customer retention rates and win-back metrics for direct delivery business</w:t>
      </w:r>
    </w:p>
    <w:p>
      <w:pPr>
        <w:pStyle w:val="SectionHeading"/>
      </w:pPr>
      <w:r>
        <w:t>Appendix</w:t>
      </w:r>
    </w:p>
    <w:p>
      <w:pPr>
        <w:pStyle w:val="SubHeading"/>
      </w:pPr>
      <w:r>
        <w:t>Business context:</w:t>
      </w:r>
    </w:p>
    <w:p>
      <w:r>
        <w:t>Primo Brands is a leading North American branded beverage company focused on healthy hydration, operating a vertically integrated coast-to-coast network that distributes water brands to over 200,000 retail outlets. The company generates revenue through retail sales of bottled water brands (Poland Spring, Pure Life, Arrowhead, etc.), direct delivery services to homes and businesses, and water dispenser/exchange services.</w:t>
      </w:r>
    </w:p>
    <w:p>
      <w:pPr>
        <w:pStyle w:val="SubHeading"/>
      </w:pPr>
      <w:r>
        <w:t>Evidence gaps (research TODO):</w:t>
      </w:r>
    </w:p>
    <w:p>
      <w:pPr>
        <w:pStyle w:val="ListBullet"/>
      </w:pPr>
      <w:r>
        <w:t>Specific customer retention rates and win-back metrics for direct delivery business</w:t>
      </w:r>
    </w:p>
    <w:p>
      <w:pPr>
        <w:pStyle w:val="ListBullet"/>
      </w:pPr>
      <w:r>
        <w:t>Detailed capacity utilization targets for Mountain Valley and Saratoga expansions</w:t>
      </w:r>
    </w:p>
    <w:p>
      <w:pPr>
        <w:pStyle w:val="ListBullet"/>
      </w:pPr>
      <w:r>
        <w:t>Quarterly progression expectations within FY2026 guidance range</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WarningBanner">
    <w:name w:val="WarningBanner"/>
    <w:pPr>
      <w:spacing w:before="80" w:after="80" w:line="276" w:lineRule="auto"/>
    </w:pPr>
    <w:rPr>
      <w:rFonts w:ascii="Calibri" w:hAnsi="Calibri"/>
      <w:b/>
      <w:i w:val="0"/>
      <w:color w:val="8C1D40"/>
      <w:sz w:val="22"/>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