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PRMB — PRMB</w:t>
      </w:r>
    </w:p>
    <w:p>
      <w:pPr>
        <w:pStyle w:val="SmallMeta"/>
      </w:pPr>
      <w:r>
        <w:t>As of 2026-05-18  |  Schema: general  |  Data: polygon+alpha_vantage (FY2025)</w:t>
      </w:r>
    </w:p>
    <w:p>
      <w:pPr>
        <w:pStyle w:val="SubHeading"/>
      </w:pPr>
      <w:r>
        <w:rPr>
          <w:color w:val="8C1D40"/>
        </w:rPr>
        <w:t>Direction: SHORT | Current: $23.11</w:t>
      </w:r>
    </w:p>
    <w:p>
      <w:pPr>
        <w:pStyle w:val="SubHeading"/>
      </w:pPr>
      <w:r>
        <w:t>Summary</w:t>
      </w:r>
    </w:p>
    <w:p>
      <w:pPr>
        <w:pStyle w:val="ListBullet"/>
      </w:pPr>
      <w:r>
        <w:t>Thesis: Management's FY2026 EBITDA guidance appears conservative relative to the margin expansion trajectory already demonstrated, creating upside potential to consensus EPS estimates.</w:t>
      </w:r>
    </w:p>
    <w:p>
      <w:pPr>
        <w:pStyle w:val="ListBullet"/>
      </w:pPr>
      <w:r>
        <w:t>Next catalyst: Next quarterly earnings report (2026-05-07 (1 days))</w:t>
      </w:r>
    </w:p>
    <w:p>
      <w:pPr>
        <w:pStyle w:val="ListBullet"/>
      </w:pPr>
      <w:r>
        <w:t>Top risk: Direct delivery will recover in 2H 2026 as management guides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'consumer_staples'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1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$0.34</w:t>
            </w:r>
          </w:p>
        </w:tc>
        <w:tc>
          <w:tcPr>
            <w:tcW w:type="dxa" w:w="1399"/>
            <w:tcBorders>
              <w:top w:val="single" w:sz="4" w:color="BDC3C7"/>
              <w:bottom w:val="single" w:sz="4" w:color="BDC3C7"/>
              <w:left w:val="single" w:sz="4" w:color="BDC3C7"/>
              <w:right w:val="single" w:sz="4" w:color="BDC3C7"/>
            </w:tcBorders>
          </w:tcPr>
          <w:p>
            <w:r>
              <w:t>$0.27 – $0.41</w:t>
            </w:r>
          </w:p>
        </w:tc>
        <w:tc>
          <w:tcPr>
            <w:tcW w:type="dxa" w:w="1399"/>
            <w:tcBorders>
              <w:top w:val="single" w:sz="4" w:color="BDC3C7"/>
              <w:bottom w:val="single" w:sz="4" w:color="BDC3C7"/>
              <w:left w:val="single" w:sz="4" w:color="BDC3C7"/>
              <w:right w:val="single" w:sz="4" w:color="BDC3C7"/>
            </w:tcBorders>
          </w:tcPr>
          <w:p>
            <w:r>
              <w:t>11</w:t>
            </w:r>
          </w:p>
        </w:tc>
        <w:tc>
          <w:tcPr>
            <w:tcW w:type="dxa" w:w="1399"/>
            <w:tcBorders>
              <w:top w:val="single" w:sz="4" w:color="BDC3C7"/>
              <w:bottom w:val="single" w:sz="4" w:color="BDC3C7"/>
              <w:left w:val="single" w:sz="4" w:color="BDC3C7"/>
              <w:right w:val="single" w:sz="4" w:color="BDC3C7"/>
            </w:tcBorders>
          </w:tcPr>
          <w:p>
            <w:r>
              <w:t>-6.5%</w:t>
            </w:r>
          </w:p>
        </w:tc>
        <w:tc>
          <w:tcPr>
            <w:tcW w:type="dxa" w:w="1399"/>
            <w:tcBorders>
              <w:top w:val="single" w:sz="4" w:color="BDC3C7"/>
              <w:bottom w:val="single" w:sz="4" w:color="BDC3C7"/>
              <w:left w:val="single" w:sz="4" w:color="BDC3C7"/>
              <w:right w:val="single" w:sz="4" w:color="BDC3C7"/>
            </w:tcBorders>
          </w:tcPr>
          <w:p>
            <w:r>
              <w:t>↓ -0.012</w:t>
            </w:r>
          </w:p>
        </w:tc>
        <w:tc>
          <w:tcPr>
            <w:tcW w:type="dxa" w:w="1399"/>
            <w:tcBorders>
              <w:top w:val="single" w:sz="4" w:color="BDC3C7"/>
              <w:bottom w:val="single" w:sz="4" w:color="BDC3C7"/>
              <w:left w:val="single" w:sz="4" w:color="BDC3C7"/>
              <w:right w:val="single" w:sz="4" w:color="BDC3C7"/>
            </w:tcBorders>
          </w:tcPr>
          <w:p>
            <w:r>
              <w:t>↑4 / ↓7</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$0.43</w:t>
            </w:r>
          </w:p>
        </w:tc>
        <w:tc>
          <w:tcPr>
            <w:tcW w:type="dxa" w:w="1399"/>
            <w:tcBorders>
              <w:top w:val="single" w:sz="4" w:color="BDC3C7"/>
              <w:bottom w:val="single" w:sz="4" w:color="BDC3C7"/>
              <w:left w:val="single" w:sz="4" w:color="BDC3C7"/>
              <w:right w:val="single" w:sz="4" w:color="BDC3C7"/>
            </w:tcBorders>
          </w:tcPr>
          <w:p>
            <w:r>
              <w:t>$0.38 – $0.51</w:t>
            </w:r>
          </w:p>
        </w:tc>
        <w:tc>
          <w:tcPr>
            <w:tcW w:type="dxa" w:w="1399"/>
            <w:tcBorders>
              <w:top w:val="single" w:sz="4" w:color="BDC3C7"/>
              <w:bottom w:val="single" w:sz="4" w:color="BDC3C7"/>
              <w:left w:val="single" w:sz="4" w:color="BDC3C7"/>
              <w:right w:val="single" w:sz="4" w:color="BDC3C7"/>
            </w:tcBorders>
          </w:tcPr>
          <w:p>
            <w:r>
              <w:t>11</w:t>
            </w:r>
          </w:p>
        </w:tc>
        <w:tc>
          <w:tcPr>
            <w:tcW w:type="dxa" w:w="1399"/>
            <w:tcBorders>
              <w:top w:val="single" w:sz="4" w:color="BDC3C7"/>
              <w:bottom w:val="single" w:sz="4" w:color="BDC3C7"/>
              <w:left w:val="single" w:sz="4" w:color="BDC3C7"/>
              <w:right w:val="single" w:sz="4" w:color="BDC3C7"/>
            </w:tcBorders>
          </w:tcPr>
          <w:p>
            <w:r>
              <w:t>+4.8%</w:t>
            </w:r>
          </w:p>
        </w:tc>
        <w:tc>
          <w:tcPr>
            <w:tcW w:type="dxa" w:w="1399"/>
            <w:tcBorders>
              <w:top w:val="single" w:sz="4" w:color="BDC3C7"/>
              <w:bottom w:val="single" w:sz="4" w:color="BDC3C7"/>
              <w:left w:val="single" w:sz="4" w:color="BDC3C7"/>
              <w:right w:val="single" w:sz="4" w:color="BDC3C7"/>
            </w:tcBorders>
          </w:tcPr>
          <w:p>
            <w:r>
              <w:t>↓ -0.011</w:t>
            </w:r>
          </w:p>
        </w:tc>
        <w:tc>
          <w:tcPr>
            <w:tcW w:type="dxa" w:w="1399"/>
            <w:tcBorders>
              <w:top w:val="single" w:sz="4" w:color="BDC3C7"/>
              <w:bottom w:val="single" w:sz="4" w:color="BDC3C7"/>
              <w:left w:val="single" w:sz="4" w:color="BDC3C7"/>
              <w:right w:val="single" w:sz="4" w:color="BDC3C7"/>
            </w:tcBorders>
          </w:tcPr>
          <w:p>
            <w:r>
              <w:t>↑2 / ↓7</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$1.29</w:t>
            </w:r>
          </w:p>
        </w:tc>
        <w:tc>
          <w:tcPr>
            <w:tcW w:type="dxa" w:w="1399"/>
            <w:tcBorders>
              <w:top w:val="single" w:sz="4" w:color="BDC3C7"/>
              <w:bottom w:val="single" w:sz="4" w:color="BDC3C7"/>
              <w:left w:val="single" w:sz="4" w:color="BDC3C7"/>
              <w:right w:val="single" w:sz="4" w:color="BDC3C7"/>
            </w:tcBorders>
          </w:tcPr>
          <w:p>
            <w:r>
              <w:t>$1.14 – $1.46</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 -0.024</w:t>
            </w:r>
          </w:p>
        </w:tc>
        <w:tc>
          <w:tcPr>
            <w:tcW w:type="dxa" w:w="1399"/>
            <w:tcBorders>
              <w:top w:val="single" w:sz="4" w:color="BDC3C7"/>
              <w:bottom w:val="single" w:sz="4" w:color="BDC3C7"/>
              <w:left w:val="single" w:sz="4" w:color="BDC3C7"/>
              <w:right w:val="single" w:sz="4" w:color="BDC3C7"/>
            </w:tcBorders>
          </w:tcPr>
          <w:p>
            <w:r>
              <w:t>↑3 / ↓8</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$1.48</w:t>
            </w:r>
          </w:p>
        </w:tc>
        <w:tc>
          <w:tcPr>
            <w:tcW w:type="dxa" w:w="1399"/>
            <w:tcBorders>
              <w:top w:val="single" w:sz="4" w:color="BDC3C7"/>
              <w:bottom w:val="single" w:sz="4" w:color="BDC3C7"/>
              <w:left w:val="single" w:sz="4" w:color="BDC3C7"/>
              <w:right w:val="single" w:sz="4" w:color="BDC3C7"/>
            </w:tcBorders>
          </w:tcPr>
          <w:p>
            <w:r>
              <w:t>$1.21 – $1.79</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+14.9%</w:t>
            </w:r>
          </w:p>
        </w:tc>
        <w:tc>
          <w:tcPr>
            <w:tcW w:type="dxa" w:w="1399"/>
            <w:tcBorders>
              <w:top w:val="single" w:sz="4" w:color="BDC3C7"/>
              <w:bottom w:val="single" w:sz="4" w:color="BDC3C7"/>
              <w:left w:val="single" w:sz="4" w:color="BDC3C7"/>
              <w:right w:val="single" w:sz="4" w:color="BDC3C7"/>
            </w:tcBorders>
          </w:tcPr>
          <w:p>
            <w:r>
              <w:t>↓ -0.072</w:t>
            </w:r>
          </w:p>
        </w:tc>
        <w:tc>
          <w:tcPr>
            <w:tcW w:type="dxa" w:w="1399"/>
            <w:tcBorders>
              <w:top w:val="single" w:sz="4" w:color="BDC3C7"/>
              <w:bottom w:val="single" w:sz="4" w:color="BDC3C7"/>
              <w:left w:val="single" w:sz="4" w:color="BDC3C7"/>
              <w:right w:val="single" w:sz="4" w:color="BDC3C7"/>
            </w:tcBorders>
          </w:tcPr>
          <w:p>
            <w:r>
              <w:t>↑2 / ↓9</w:t>
            </w:r>
          </w:p>
        </w:tc>
      </w:tr>
    </w:tbl>
    <w:p>
      <w:r>
        <w:t>Revenue consensus: Q $1.77B (+2.1%)  |  Q+1 $1.80B (+1.9%)  |  FY $6.78B (+1.7%)  |  FY+1 $7.01B (+3.5%)</w:t>
      </w:r>
    </w:p>
    <w:p>
      <w:r>
        <w:t>Price targets: Mean $26.92  |  Median $26.50  |  Range $21.00–$35.00  |  Current $23.15 (+16.3% to mean)</w:t>
      </w:r>
    </w:p>
    <w:p>
      <w:r>
        <w:t>Analyst ratings (n=13): Strong Buy 5 · Buy 6 · Hold 2 · Sell 0 · Strong Sell 0  ·  85% bullish</w:t>
      </w:r>
    </w:p>
    <w:p>
      <w:r>
        <w:t>Next earnings: 2026-05-07 (-11d out)  ·  EPS $0.34 ($0.27–$0.41)  ·  Rev $1.77B</w:t>
      </w:r>
    </w:p>
    <w:p>
      <w:pPr>
        <w:pStyle w:val="SectionHeading"/>
      </w:pPr>
      <w:r>
        <w:t>1. Research Synthesis</w:t>
      </w:r>
    </w:p>
    <w:p>
      <w:r>
        <w:t>Primo Brands presents a complex integration story where the market is grappling with distinguishing between temporary disruption and structural deterioration. The company's Q1 2026 results provide the first clean read on post-integration performance, revealing both encouraging margin expansion and persistent direct delivery headwinds that require careful parsing.</w:t>
      </w:r>
    </w:p>
    <w:p>
      <w:r>
        <w:t>The sequential trajectory analysis reveals important nuances often missed in surface-level commentary. Q1 2026 revenue of $1,626M represents a +4.6% sequential increase from Q4 2025's $1,554M. To properly contextualize this, we need the prior-year comparison: Q1 2025 revenue was $1,614M versus Q4 2024 actuals that aren't disclosed in the corpus, making the seasonal pattern unverified. However, management's Q4 2025 call noted they 'face a difficult first quarter comparison, cycling 3% year-over-year sales growth' in Q1 2025, which helps explain the modest +0.8% YoY growth in Q1 2026. The sequential improvement from Q4 to Q1 appears consistent with normal seasonal patterns for beverage companies exiting the holiday period.</w:t>
      </w:r>
    </w:p>
    <w:p>
      <w:pPr>
        <w:pStyle w:val="ListBullet"/>
      </w:pPr>
      <w:r>
        <w:rPr>
          <w:i/>
        </w:rPr>
        <w:t>→ Research confirms: Q1 2026 revenue of $1,626.1M confirmed; Q4 2025 revenue of $1,554M confirmed. Sequential increase calculates to 4.6% as stated in the claim. (stocktitan.net)</w:t>
      </w:r>
    </w:p>
    <w:p>
      <w:r>
        <w:t>The margin expansion story deserves deeper diligence given its centrality to the investment thesis. Q1 2026 adjusted EBITDA margin of 20.5% (calculated as $334.1M EBITDA on $1,626M Q1 2026 revenue per the earnings call) represents a 160 basis point improvement versus prior year. For the full year 2025, comparable adjusted EBITDA was $1,447M on $6,660M revenue, yielding a 21.7% margin. Management's FY2026 guidance of $1,465-1,515M EBITDA on expected revenue of $6,635M (the adjusted base) plus 0-1% growth implies margins of 22.2-22.8% at the guidance range. This represents 170-270 basis points of additional expansion despite management citing continued synergy capture and operational improvements.</w:t>
      </w:r>
    </w:p>
    <w:p>
      <w:pPr>
        <w:pStyle w:val="ListBullet"/>
      </w:pPr>
      <w:r>
        <w:rPr>
          <w:i/>
        </w:rPr>
        <w:t>→ Research [CONTRADICTS]: Primo Brands Q1 2026 adjusted EBITDA was $306.0M on $1,626.1M revenue, yielding 18.8% margin, not 20.5% as claimed. The brief's stated EBITDA figure of $334.1M does not appear in official earnings disclosures. (sec.gov)</w:t>
      </w:r>
    </w:p>
    <w:p>
      <w:r>
        <w:t>The direct delivery channel deterioration requires careful analysis as it represents the highest-margin segment. Q1 2026 direct delivery revenue of $620.7M declined 3.0% YoY from $639.6M, continuing the negative trajectory that began with integration disruptions in 2025. However, management noted in the Q4 2025 call that 'while the customer net ads were negative, we saw month-to-month improvement' and expects 'a transition to top-line growth in the second half of the year.' The CFO specifically guided that direct delivery declines were 'driven by a lower customer base' but emphasized service levels are 'now back to pre-integration levels.' This creates a key analytical question: are the customer losses permanent or recoverable?</w:t>
      </w:r>
    </w:p>
    <w:p>
      <w:r>
        <w:t>The premium water segment provides a compelling growth offset, with Q1 2026 revenue of $105.5M representing 42.8% YoY growth from $73.9M. This acceleration appears sustainable given management's capacity expansion investments, including 'more than $66 million in our new hot spring facility for Mountain Valley, as well as a new bottling factory in Texas for Saratoga' as noted in the Q3 2025 call. The premium segment's growth rate significantly exceeds the company's overall algorithm, suggesting mix benefits that could support margin expansion beyond current guidance.</w:t>
      </w:r>
    </w:p>
    <w:p>
      <w:pPr>
        <w:pStyle w:val="ListBullet"/>
      </w:pPr>
      <w:r>
        <w:rPr>
          <w:i/>
        </w:rPr>
        <w:t>→ Research confirms: Search results confirm Primo Brands is investing over $66 million in a new Mountain Valley facility in Hot Springs, Arkansas (opening spring 2026) and a new Saratoga bottling factory in Texas. (beyondspx.com)</w:t>
      </w:r>
    </w:p>
    <w:p>
      <w:r>
        <w:t>Management credibility signals present a mixed picture requiring careful interpretation. The language around FY2026 guidance appears appropriately cautious given the integration challenges, with CEO Eric Foss noting in the Q4 2025 call that 'our top priority is to get the business back to growth while also expanding margins.' However, the EBITDA guidance range of $1,465-1,515M appears conservative when considering the $1,447M FY2025 base plus continued synergy capture. The company achieved $100.3M of EBITDA improvement in 2025 despite revenue declining 1%, suggesting significant operational leverage that may not be fully reflected in guidance.</w:t>
      </w:r>
    </w:p>
    <w:p>
      <w:pPr>
        <w:pStyle w:val="ListBullet"/>
      </w:pPr>
      <w:r>
        <w:rPr>
          <w:i/>
        </w:rPr>
        <w:t>→ Research: Search confirms Foss led major integrations at Pepsi Bottling Group (PBG/PAS into PepsiCo 2010) and managed acquisitions at Aramark (Avendra, AmerPride). However, sources emphasize successful outcomes and shareholder value creation, not mixed results. The claim's characterization of 'mixed picture' lacks direct support in available sources. (prnewswire.com)</w:t>
      </w:r>
    </w:p>
    <w:p>
      <w:pPr>
        <w:pStyle w:val="ListBullet"/>
      </w:pPr>
      <w:r>
        <w:rPr>
          <w:i/>
        </w:rPr>
        <w:t>→ Research: Recent insider activity contradicts the missing angle premise. CEO Eric Foss purchased ~$2M in PRMB stock (128k shares) on Nov 11-12, 2025, and director Steven Stanbrook bought ~$896k on Nov 13, 2025—both bullish signals despite management credibility questions. (investing.com)</w:t>
      </w:r>
    </w:p>
    <w:p>
      <w:r>
        <w:t>The capital allocation framework reveals management's confidence in cash generation sustainability. The company increased its quarterly dividend to 12 cents per share and maintains a $300M share repurchase authorization with $78M remaining as of March 31, 2026. More importantly, management targets reducing net debt leverage to under 3.0x from the current 3.52x level, which requires either EBITDA growth or debt reduction. Given the company's $790-810M adjusted free cash flow guidance, the deleveraging target appears achievable and suggests management expects EBITDA to trend toward the higher end of guidance.</w:t>
      </w:r>
    </w:p>
    <w:p>
      <w:r>
        <w:t>Recent material events provide additional context for the investment setup. FMR LLC's disclosure of an 8.0% stake (29.1M shares) as of March 31, 2026, represents significant institutional validation. Additionally, the company completed a refinancing of its $3.09B first-lien term loan, extending maturity to 2031 and providing financial flexibility. These actions suggest institutional confidence in the turnaround trajectory.</w:t>
      </w:r>
    </w:p>
    <w:p>
      <w:pPr>
        <w:pStyle w:val="ListBullet"/>
      </w:pPr>
      <w:r>
        <w:rPr>
          <w:i/>
        </w:rPr>
        <w:t>→ Research confirms: SEC Schedule 13G/A filing directly confirms FMR LLC beneficially owns 29,138,719.93 shares (8.0%) of Primo Brands as of March 31, 2026, matching the claim's numerical specificity. (stocktitan.net)</w:t>
      </w:r>
    </w:p>
    <w:p>
      <w:pPr>
        <w:pStyle w:val="ListBullet"/>
      </w:pPr>
      <w:r>
        <w:rPr>
          <w:i/>
        </w:rPr>
        <w:t>→ Research: Primo Brands ownership structure includes One Rock Capital Partners (PE sponsor via BlueTriton acquisition Feb 2021) and Metropoulos &amp; Co. as co-investors, holding ~57% post-merger. One Rock has conducted multiple secondary offerings (Mar, May 2025), signaling exit activity and potential float overhang. (onerock.com)</w:t>
      </w:r>
    </w:p>
    <w:p>
      <w:r>
        <w:t>The peer context from the consumer staples comparison reveals Primo's relative positioning. While KO trades at 24.8x forward P/E with 2.1% revenue growth expectations and PEP at 17.1x with 5.4% growth, Primo's integration story and margin expansion potential may not be fully captured in current consensus estimates. The company's structural advantages in the growing bottled water category, combined with operational improvements, suggest the current setup may undervalue the normalized earnings power.</w:t>
      </w:r>
    </w:p>
    <w:p>
      <w:r>
        <w:t>Synthesizing these analytical threads, the evidence points toward management's EBITDA guidance being achievable at the higher end of the range, potentially creating upside to consensus EPS estimates. The combination of premium segment acceleration, synergy capture continuation, and operational leverage from any direct delivery stabilization suggests the $1,515M EBITDA target is more likely than the $1,465M floor, particularly given management's track record of conservative guidance during the integration period.</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$0.34</w:t>
            </w:r>
          </w:p>
        </w:tc>
        <w:tc>
          <w:tcPr>
            <w:tcW w:type="dxa" w:w="3264"/>
            <w:tcBorders>
              <w:top w:val="single" w:sz="4" w:color="BDC3C7"/>
              <w:bottom w:val="single" w:sz="4" w:color="BDC3C7"/>
              <w:left w:val="single" w:sz="4" w:color="BDC3C7"/>
              <w:right w:val="single" w:sz="4" w:color="BDC3C7"/>
            </w:tcBorders>
          </w:tcPr>
          <w:p>
            <w:r>
              <w:t>$1,767M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$0.43</w:t>
            </w:r>
          </w:p>
        </w:tc>
        <w:tc>
          <w:tcPr>
            <w:tcW w:type="dxa" w:w="3264"/>
            <w:tcBorders>
              <w:top w:val="single" w:sz="4" w:color="BDC3C7"/>
              <w:bottom w:val="single" w:sz="4" w:color="BDC3C7"/>
              <w:left w:val="single" w:sz="4" w:color="BDC3C7"/>
              <w:right w:val="single" w:sz="4" w:color="BDC3C7"/>
            </w:tcBorders>
          </w:tcPr>
          <w:p>
            <w:r>
              <w:t>$1,799M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$1.29</w:t>
            </w:r>
          </w:p>
        </w:tc>
        <w:tc>
          <w:tcPr>
            <w:tcW w:type="dxa" w:w="3264"/>
            <w:tcBorders>
              <w:top w:val="single" w:sz="4" w:color="BDC3C7"/>
              <w:bottom w:val="single" w:sz="4" w:color="BDC3C7"/>
              <w:left w:val="single" w:sz="4" w:color="BDC3C7"/>
              <w:right w:val="single" w:sz="4" w:color="BDC3C7"/>
            </w:tcBorders>
          </w:tcPr>
          <w:p>
            <w:r>
              <w:t>$6,779M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$1.48</w:t>
            </w:r>
          </w:p>
        </w:tc>
        <w:tc>
          <w:tcPr>
            <w:tcW w:type="dxa" w:w="3264"/>
            <w:tcBorders>
              <w:top w:val="single" w:sz="4" w:color="BDC3C7"/>
              <w:bottom w:val="single" w:sz="4" w:color="BDC3C7"/>
              <w:left w:val="single" w:sz="4" w:color="BDC3C7"/>
              <w:right w:val="single" w:sz="4" w:color="BDC3C7"/>
            </w:tcBorders>
          </w:tcPr>
          <w:p>
            <w:r>
              <w:t>$7,013M</w:t>
            </w:r>
          </w:p>
        </w:tc>
      </w:tr>
    </w:tbl>
    <w:p>
      <w:pPr>
        <w:pStyle w:val="SubHeading"/>
      </w:pPr>
      <w:r>
        <w:t>Management guidance:</w:t>
      </w:r>
    </w:p>
    <w:p>
      <w:pPr>
        <w:pStyle w:val="ListBullet"/>
      </w:pPr>
      <w:r>
        <w:t>Revenue (FY2026): 1% to 3%  — Deck p.11</w:t>
      </w:r>
    </w:p>
    <w:p>
      <w:pPr>
        <w:pStyle w:val="ListBullet"/>
      </w:pPr>
      <w:r>
        <w:t>Adj. EBITDA (FY2026): $1,465M to $1,515M  — Deck p.11</w:t>
      </w:r>
    </w:p>
    <w:p>
      <w:pPr>
        <w:pStyle w:val="ListBullet"/>
      </w:pPr>
      <w:r>
        <w:t>CapEx (FY2026): 4% of Net Sales  — Deck p.11</w:t>
      </w:r>
    </w:p>
    <w:p>
      <w:pPr>
        <w:pStyle w:val="ListBullet"/>
      </w:pPr>
      <w:r>
        <w:t>Free Cash Flow (FY2026): $790M to $810M  — Deck p.11</w:t>
      </w:r>
    </w:p>
    <w:p>
      <w:pPr>
        <w:pStyle w:val="ListBullet"/>
      </w:pPr>
      <w:r>
        <w:t>Net Debt Leverage Ratio (target): under 3.0 times  — Deck p.10</w:t>
      </w:r>
    </w:p>
    <w:p>
      <w:pPr>
        <w:pStyle w:val="ListBullet"/>
      </w:pPr>
      <w:r>
        <w:t>Quarterly Dividend (ongoing): 12 cents per share  — Deck p.10</w:t>
      </w:r>
    </w:p>
    <w:p>
      <w:pPr>
        <w:pStyle w:val="ListBullet"/>
      </w:pPr>
      <w:r>
        <w:t>Share Repurchase Authorization (available as of March 31, 2026): $300 million with approximately $78M remaining available  — Deck p.10</w:t>
      </w:r>
    </w:p>
    <w:p>
      <w:pPr>
        <w:pStyle w:val="PullQuote"/>
      </w:pPr>
      <w:r>
        <w:t>No structured edge claims survived validation (1 candidate(s) rejected — see Appendix).</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revenue_growth_pct</w:t>
            </w:r>
          </w:p>
        </w:tc>
        <w:tc>
          <w:tcPr>
            <w:tcW w:type="dxa" w:w="2448"/>
            <w:tcBorders>
              <w:top w:val="single" w:sz="4" w:color="BDC3C7"/>
              <w:bottom w:val="single" w:sz="4" w:color="BDC3C7"/>
              <w:left w:val="single" w:sz="4" w:color="BDC3C7"/>
              <w:right w:val="single" w:sz="4" w:color="BDC3C7"/>
            </w:tcBorders>
          </w:tcPr>
          <w:p>
            <w:r>
              <w:rPr>
                <w:b/>
              </w:rPr>
              <w:t>+0.89%</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organic_revenue_growth</w:t>
            </w:r>
          </w:p>
        </w:tc>
        <w:tc>
          <w:tcPr>
            <w:tcW w:type="dxa" w:w="2448"/>
            <w:tcBorders>
              <w:top w:val="single" w:sz="4" w:color="BDC3C7"/>
              <w:bottom w:val="single" w:sz="4" w:color="BDC3C7"/>
              <w:left w:val="single" w:sz="4" w:color="BDC3C7"/>
              <w:right w:val="single" w:sz="4" w:color="BDC3C7"/>
            </w:tcBorders>
          </w:tcPr>
          <w:p>
            <w:r>
              <w:t>+0.89%</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guides 1-3% organic net sales growth for FY2026 per the Q4 2025 earnings call, with CEO Eric Foss noting 'we anticipate comparable net sales growth of flat to 1%' but this excludes the office coffee service bu</w:t>
            </w:r>
          </w:p>
        </w:tc>
      </w:tr>
    </w:tbl>
    <w:p>
      <w:pPr>
        <w:pStyle w:val="SubHeading"/>
      </w:pPr>
      <w:r>
        <w:t>Bear revisions:</w:t>
      </w:r>
    </w:p>
    <w:p>
      <w:pPr>
        <w:pStyle w:val="ListBullet"/>
      </w:pPr>
      <w:r>
        <w:t>revenue_growth_pct.organic_revenue_growth: 1.48 → 0.5 — If direct delivery customer losses prove permanent rather than recoverable, and premium segment growth moderates from current 40%+ pace, overall growth could trend toward the low end of management's 1-3% range.</w:t>
      </w:r>
    </w:p>
    <w:p>
      <w:pPr>
        <w:pStyle w:val="SubHeading"/>
      </w:pPr>
      <w:r>
        <w:t>Comp decomposition check:</w:t>
      </w:r>
    </w:p>
    <w:p>
      <w:pPr>
        <w:pStyle w:val="ListBullet"/>
      </w:pPr>
      <w:r>
        <w:t>Schema mismatch: peer comps fit 'consumer_staples' but the brief picked 'general'. The mechanical model will use generic defaults; final EPS may be unreliable.</w:t>
      </w:r>
    </w:p>
    <w:p>
      <w:pPr>
        <w:pStyle w:val="ListBullet"/>
      </w:pPr>
      <w:r>
        <w:t>Thin brief drivers (1 drivers / 1 components) on schema 'general'. The mechanical model and edge variant back-solve may be unreliable.</w:t>
      </w:r>
    </w:p>
    <w:p>
      <w:pPr>
        <w:pStyle w:val="ListBullet"/>
      </w:pPr>
      <w:r>
        <w:rPr>
          <w:i/>
        </w:rPr>
        <w:t>→ Research: Search confirms temperature elasticity of bottled water demand: 1°C increase drives ~20% higher consumption. Summer 2026 forecasts show above-normal temperatures across U.S. and India heatwave outlook predicts 15% soft drink revenue growth. Seasonal demand peaks documented for August-September. (sciencedirect.com)</w:t>
      </w:r>
    </w:p>
    <w:p>
      <w:pPr>
        <w:pStyle w:val="SectionHeading"/>
      </w:pPr>
      <w:r>
        <w:t>3. Consensus Gap &amp; Valuation</w:t>
      </w:r>
    </w:p>
    <w:p>
      <w:r>
        <w:t>Our EPS: $1.29  =  baseline $1.29  +  Σ claim impacts $+0.00 (0.0% below consensus $1.29)</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$1.29</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$1.29</w:t>
            </w:r>
          </w:p>
        </w:tc>
      </w:tr>
    </w:tbl>
    <w:p>
      <w:pPr>
        <w:pStyle w:val="PullQuote"/>
      </w:pPr>
      <w:r>
        <w:t xml:space="preserve">  ⚠ No edge claims; our EPS matches baseline (consensus).</w:t>
      </w:r>
    </w:p>
    <w:p>
      <w:r>
        <w:t>Our estimate is $0.00 (0.0%) below consensus $1.29. No single driver within plausible bounds can close the gap to consensus when other drivers are held at our values; the EPS variant is diffuse (top magnitude: revenue_growth_pct.organic_revenue_growth). Variant appears within market noise -- may already be priced in. Next catalyst: Next quarterly earnings report (2026-05-07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revenue_growth_pct.organic_revenue_growth</w:t>
            </w:r>
          </w:p>
        </w:tc>
        <w:tc>
          <w:tcPr>
            <w:tcW w:type="dxa" w:w="1958"/>
            <w:tcBorders>
              <w:top w:val="single" w:sz="4" w:color="BDC3C7"/>
              <w:bottom w:val="single" w:sz="4" w:color="BDC3C7"/>
              <w:left w:val="single" w:sz="4" w:color="BDC3C7"/>
              <w:right w:val="single" w:sz="4" w:color="BDC3C7"/>
            </w:tcBorders>
          </w:tcPr>
          <w:p>
            <w:r>
              <w:t>+0.89</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(+0.0%) within implied move noise (2.5%). Short interest 40.1% neutral</w:t>
      </w:r>
    </w:p>
    <w:p>
      <w:r>
        <w:t>Edge verdict: NO_CLEAR_EDGE (score 0.000).</w:t>
      </w:r>
    </w:p>
    <w:p>
      <w:pPr>
        <w:pStyle w:val="SectionHeading"/>
      </w:pPr>
      <w:r>
        <w:t>4. Catalysts</w:t>
      </w:r>
    </w:p>
    <w:p>
      <w:pPr>
        <w:pStyle w:val="ListBullet"/>
      </w:pPr>
      <w:r>
        <w:t>Next quarterly earnings report (2026-05-07 (1 days)) — resolves revenue + margins + guidance; confirms or challenges</w:t>
      </w:r>
    </w:p>
    <w:p>
      <w:pPr>
        <w:pStyle w:val="ListBullet"/>
      </w:pPr>
      <w:r>
        <w:t>Resolution: Direct delivery will recover in 2H 2026 as management guides (Resolves at earnings (2026-05-07)) — resolves revenue_growth_pct; confirms or challenges</w:t>
      </w:r>
    </w:p>
    <w:p>
      <w:pPr>
        <w:pStyle w:val="ListBullet"/>
      </w:pPr>
      <w:r>
        <w:t>Specific customer retention rates and win-back success in direct delivery channel (Unknown timing) — resolves multiple; resolves uncertainty</w:t>
      </w:r>
    </w:p>
    <w:p>
      <w:pPr>
        <w:pStyle w:val="ListBullet"/>
      </w:pPr>
      <w:r>
        <w:t>Detailed premium segment capacity utilization and sustainable growth rates (Unknown timing) — resolves multiple; resolves uncertainty</w:t>
      </w:r>
    </w:p>
    <w:p>
      <w:pPr>
        <w:pStyle w:val="SectionHeading"/>
      </w:pPr>
      <w:r>
        <w:t>5. Risks, Blind Spots &amp; Kill Criteria</w:t>
      </w:r>
    </w:p>
    <w:p>
      <w:pPr>
        <w:pStyle w:val="SubHeading"/>
      </w:pPr>
      <w:r>
        <w:t>Top risks:</w:t>
      </w:r>
    </w:p>
    <w:p>
      <w:pPr>
        <w:pStyle w:val="ListBullet"/>
      </w:pPr>
      <w:r>
        <w:t>Direct delivery will recover in 2H 2026 as management guides — counter: Direct delivery revenue declined 3.0% YoY in Q1 2026 to $620.7M from $639.6M, continuing negative trends from 2025 integration disruptions. Customer net additions remain negative despite service level improvements. [moderate]</w:t>
      </w:r>
    </w:p>
    <w:p>
      <w:pPr>
        <w:pStyle w:val="ListBullet2"/>
      </w:pPr>
      <w:r>
        <w:rPr>
          <w:i/>
        </w:rPr>
        <w:t>→ Research confirms: Direct delivery revenue declined 3.0% YoY in Q1 2026 to $620.7M, confirmed by Primo Brands earnings disclosures. Management projects recovery to breakeven in Q2 and modest growth in H2 2026. (investing.com)</w:t>
      </w:r>
    </w:p>
    <w:p>
      <w:pPr>
        <w:pStyle w:val="KillCriteria"/>
      </w:pPr>
      <w:r>
        <w:t>What would change our mind: Unable to close gap: Specific customer retention rates and win-back success in direct delivery channel</w:t>
      </w:r>
    </w:p>
    <w:p>
      <w:pPr>
        <w:pStyle w:val="SectionHeading"/>
      </w:pPr>
      <w:r>
        <w:t>Appendix</w:t>
      </w:r>
    </w:p>
    <w:p>
      <w:pPr>
        <w:pStyle w:val="SubHeading"/>
      </w:pPr>
      <w:r>
        <w:t>Business context:</w:t>
      </w:r>
    </w:p>
    <w:p>
      <w:r>
        <w:t>Primo Brands is a leading North American branded beverage company focused on healthy hydration, operating a vertically integrated platform with 13 iconic water brands including Poland Spring, Pure Life, Arrowhead, and premium offerings like Mountain Valley and Saratoga. The company generates revenue through retail distribution to 200,000+ outlets, direct delivery to 3+ million customers, and exchange/refill services, leveraging 80+ spring water sources and coast-to-coast distribution infrastructure.</w:t>
      </w:r>
    </w:p>
    <w:p>
      <w:pPr>
        <w:pStyle w:val="SubHeading"/>
      </w:pPr>
      <w:r>
        <w:t>Evidence gaps (research TODO):</w:t>
      </w:r>
    </w:p>
    <w:p>
      <w:pPr>
        <w:pStyle w:val="ListBullet"/>
      </w:pPr>
      <w:r>
        <w:t>Specific customer retention rates and win-back success in direct delivery channel</w:t>
      </w:r>
    </w:p>
    <w:p>
      <w:pPr>
        <w:pStyle w:val="ListBullet"/>
      </w:pPr>
      <w:r>
        <w:t>Detailed premium segment capacity utilization and sustainable growth rates</w:t>
      </w:r>
    </w:p>
    <w:p>
      <w:pPr>
        <w:pStyle w:val="ListBullet"/>
      </w:pPr>
      <w:r>
        <w:t>Quarterly progression of synergy capture and remaining opportunity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