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RDDT — RDDT</w:t>
      </w:r>
    </w:p>
    <w:p>
      <w:pPr>
        <w:pStyle w:val="SmallMeta"/>
      </w:pPr>
      <w:r>
        <w:t>As of 2026-04-27  |  Schema: general  |  Data: polygon+alpha_vantage (FY2025)</w:t>
      </w:r>
    </w:p>
    <w:p>
      <w:pPr>
        <w:pStyle w:val="SubHeading"/>
      </w:pPr>
      <w:r>
        <w:rPr>
          <w:color w:val="8C1D40"/>
        </w:rPr>
        <w:t>Direction: LONG | Current: $162.73</w:t>
      </w:r>
    </w:p>
    <w:p>
      <w:pPr>
        <w:pStyle w:val="SubHeading"/>
      </w:pPr>
      <w:r>
        <w:t>Summary</w:t>
      </w:r>
    </w:p>
    <w:p>
      <w:pPr>
        <w:pStyle w:val="ListBullet"/>
      </w:pPr>
      <w:r>
        <w:t>Thesis: Street underestimates the durability of Reddit's growth deceleration into 2026 - consensus $4.13 EPS implies ~43% revenue growth, but Q1 2026 guidance of $595-605M represents 17% sequential decline from Q4's $726M, suggesting growth is normalizing faster than the street models.</w:t>
      </w:r>
    </w:p>
    <w:p>
      <w:pPr>
        <w:pStyle w:val="ListBullet"/>
      </w:pPr>
      <w:r>
        <w:t>Next catalyst: Next quarterly earnings report (2026-04-30 (3 days))</w:t>
      </w:r>
    </w:p>
    <w:p>
      <w:pPr>
        <w:pStyle w:val="ListBullet"/>
      </w:pPr>
      <w:r>
        <w:t>Top risk: Reddit's 'authenticity moat' drives sustainable premium growth</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EVIDENCE AUDIT: evidence audit: 4 finding(s) — cited→inferred: 4</w:t>
            </w:r>
          </w:p>
        </w:tc>
      </w:tr>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EXTRAORDINARY VARIANT: our EPS $9.85 is 139% above consensus $4.13. Claims this extreme require specific named catastrophic (or windfall) mechanisms — review the brief + adversarial output and confirm the thesis supports this magnitude, or treat the number as mis-calibrated.</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$0.57</w:t>
            </w:r>
          </w:p>
        </w:tc>
        <w:tc>
          <w:tcPr>
            <w:tcW w:type="dxa" w:w="1399"/>
            <w:tcBorders>
              <w:top w:val="single" w:sz="4" w:color="BDC3C7"/>
              <w:bottom w:val="single" w:sz="4" w:color="BDC3C7"/>
              <w:left w:val="single" w:sz="4" w:color="BDC3C7"/>
              <w:right w:val="single" w:sz="4" w:color="BDC3C7"/>
            </w:tcBorders>
          </w:tcPr>
          <w:p>
            <w:r>
              <w:t>$0.35 – $0.80</w:t>
            </w:r>
          </w:p>
        </w:tc>
        <w:tc>
          <w:tcPr>
            <w:tcW w:type="dxa" w:w="1399"/>
            <w:tcBorders>
              <w:top w:val="single" w:sz="4" w:color="BDC3C7"/>
              <w:bottom w:val="single" w:sz="4" w:color="BDC3C7"/>
              <w:left w:val="single" w:sz="4" w:color="BDC3C7"/>
              <w:right w:val="single" w:sz="4" w:color="BDC3C7"/>
            </w:tcBorders>
          </w:tcPr>
          <w:p>
            <w:r>
              <w:t>21</w:t>
            </w:r>
          </w:p>
        </w:tc>
        <w:tc>
          <w:tcPr>
            <w:tcW w:type="dxa" w:w="1399"/>
            <w:tcBorders>
              <w:top w:val="single" w:sz="4" w:color="BDC3C7"/>
              <w:bottom w:val="single" w:sz="4" w:color="BDC3C7"/>
              <w:left w:val="single" w:sz="4" w:color="BDC3C7"/>
              <w:right w:val="single" w:sz="4" w:color="BDC3C7"/>
            </w:tcBorders>
          </w:tcPr>
          <w:p>
            <w:r>
              <w:t>+337.2%</w:t>
            </w:r>
          </w:p>
        </w:tc>
        <w:tc>
          <w:tcPr>
            <w:tcW w:type="dxa" w:w="1399"/>
            <w:tcBorders>
              <w:top w:val="single" w:sz="4" w:color="BDC3C7"/>
              <w:bottom w:val="single" w:sz="4" w:color="BDC3C7"/>
              <w:left w:val="single" w:sz="4" w:color="BDC3C7"/>
              <w:right w:val="single" w:sz="4" w:color="BDC3C7"/>
            </w:tcBorders>
          </w:tcPr>
          <w:p>
            <w:r>
              <w:t>≈ +0.002</w:t>
            </w:r>
          </w:p>
        </w:tc>
        <w:tc>
          <w:tcPr>
            <w:tcW w:type="dxa" w:w="1399"/>
            <w:tcBorders>
              <w:top w:val="single" w:sz="4" w:color="BDC3C7"/>
              <w:bottom w:val="single" w:sz="4" w:color="BDC3C7"/>
              <w:left w:val="single" w:sz="4" w:color="BDC3C7"/>
              <w:right w:val="single" w:sz="4" w:color="BDC3C7"/>
            </w:tcBorders>
          </w:tcPr>
          <w:p>
            <w:r>
              <w:t>↑1 / ↓1</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$0.83</w:t>
            </w:r>
          </w:p>
        </w:tc>
        <w:tc>
          <w:tcPr>
            <w:tcW w:type="dxa" w:w="1399"/>
            <w:tcBorders>
              <w:top w:val="single" w:sz="4" w:color="BDC3C7"/>
              <w:bottom w:val="single" w:sz="4" w:color="BDC3C7"/>
              <w:left w:val="single" w:sz="4" w:color="BDC3C7"/>
              <w:right w:val="single" w:sz="4" w:color="BDC3C7"/>
            </w:tcBorders>
          </w:tcPr>
          <w:p>
            <w:r>
              <w:t>$0.64 – $1.06</w:t>
            </w:r>
          </w:p>
        </w:tc>
        <w:tc>
          <w:tcPr>
            <w:tcW w:type="dxa" w:w="1399"/>
            <w:tcBorders>
              <w:top w:val="single" w:sz="4" w:color="BDC3C7"/>
              <w:bottom w:val="single" w:sz="4" w:color="BDC3C7"/>
              <w:left w:val="single" w:sz="4" w:color="BDC3C7"/>
              <w:right w:val="single" w:sz="4" w:color="BDC3C7"/>
            </w:tcBorders>
          </w:tcPr>
          <w:p>
            <w:r>
              <w:t>21</w:t>
            </w:r>
          </w:p>
        </w:tc>
        <w:tc>
          <w:tcPr>
            <w:tcW w:type="dxa" w:w="1399"/>
            <w:tcBorders>
              <w:top w:val="single" w:sz="4" w:color="BDC3C7"/>
              <w:bottom w:val="single" w:sz="4" w:color="BDC3C7"/>
              <w:left w:val="single" w:sz="4" w:color="BDC3C7"/>
              <w:right w:val="single" w:sz="4" w:color="BDC3C7"/>
            </w:tcBorders>
          </w:tcPr>
          <w:p>
            <w:r>
              <w:t>+84.7%</w:t>
            </w:r>
          </w:p>
        </w:tc>
        <w:tc>
          <w:tcPr>
            <w:tcW w:type="dxa" w:w="1399"/>
            <w:tcBorders>
              <w:top w:val="single" w:sz="4" w:color="BDC3C7"/>
              <w:bottom w:val="single" w:sz="4" w:color="BDC3C7"/>
              <w:left w:val="single" w:sz="4" w:color="BDC3C7"/>
              <w:right w:val="single" w:sz="4" w:color="BDC3C7"/>
            </w:tcBorders>
          </w:tcPr>
          <w:p>
            <w:r>
              <w:t>≈ -0.002</w:t>
            </w:r>
          </w:p>
        </w:tc>
        <w:tc>
          <w:tcPr>
            <w:tcW w:type="dxa" w:w="1399"/>
            <w:tcBorders>
              <w:top w:val="single" w:sz="4" w:color="BDC3C7"/>
              <w:bottom w:val="single" w:sz="4" w:color="BDC3C7"/>
              <w:left w:val="single" w:sz="4" w:color="BDC3C7"/>
              <w:right w:val="single" w:sz="4" w:color="BDC3C7"/>
            </w:tcBorders>
          </w:tcPr>
          <w:p>
            <w:r>
              <w:t>↑0 / ↓2</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$4.13</w:t>
            </w:r>
          </w:p>
        </w:tc>
        <w:tc>
          <w:tcPr>
            <w:tcW w:type="dxa" w:w="1399"/>
            <w:tcBorders>
              <w:top w:val="single" w:sz="4" w:color="BDC3C7"/>
              <w:bottom w:val="single" w:sz="4" w:color="BDC3C7"/>
              <w:left w:val="single" w:sz="4" w:color="BDC3C7"/>
              <w:right w:val="single" w:sz="4" w:color="BDC3C7"/>
            </w:tcBorders>
          </w:tcPr>
          <w:p>
            <w:r>
              <w:t>$3.38 – $4.94</w:t>
            </w:r>
          </w:p>
        </w:tc>
        <w:tc>
          <w:tcPr>
            <w:tcW w:type="dxa" w:w="1399"/>
            <w:tcBorders>
              <w:top w:val="single" w:sz="4" w:color="BDC3C7"/>
              <w:bottom w:val="single" w:sz="4" w:color="BDC3C7"/>
              <w:left w:val="single" w:sz="4" w:color="BDC3C7"/>
              <w:right w:val="single" w:sz="4" w:color="BDC3C7"/>
            </w:tcBorders>
          </w:tcPr>
          <w:p>
            <w:r>
              <w:t>27</w:t>
            </w:r>
          </w:p>
        </w:tc>
        <w:tc>
          <w:tcPr>
            <w:tcW w:type="dxa" w:w="1399"/>
            <w:tcBorders>
              <w:top w:val="single" w:sz="4" w:color="BDC3C7"/>
              <w:bottom w:val="single" w:sz="4" w:color="BDC3C7"/>
              <w:left w:val="single" w:sz="4" w:color="BDC3C7"/>
              <w:right w:val="single" w:sz="4" w:color="BDC3C7"/>
            </w:tcBorders>
          </w:tcPr>
          <w:p>
            <w:r>
              <w:t>+57.5%</w:t>
            </w:r>
          </w:p>
        </w:tc>
        <w:tc>
          <w:tcPr>
            <w:tcW w:type="dxa" w:w="1399"/>
            <w:tcBorders>
              <w:top w:val="single" w:sz="4" w:color="BDC3C7"/>
              <w:bottom w:val="single" w:sz="4" w:color="BDC3C7"/>
              <w:left w:val="single" w:sz="4" w:color="BDC3C7"/>
              <w:right w:val="single" w:sz="4" w:color="BDC3C7"/>
            </w:tcBorders>
          </w:tcPr>
          <w:p>
            <w:r>
              <w:t>↑ +0.009</w:t>
            </w:r>
          </w:p>
        </w:tc>
        <w:tc>
          <w:tcPr>
            <w:tcW w:type="dxa" w:w="1399"/>
            <w:tcBorders>
              <w:top w:val="single" w:sz="4" w:color="BDC3C7"/>
              <w:bottom w:val="single" w:sz="4" w:color="BDC3C7"/>
              <w:left w:val="single" w:sz="4" w:color="BDC3C7"/>
              <w:right w:val="single" w:sz="4" w:color="BDC3C7"/>
            </w:tcBorders>
          </w:tcPr>
          <w:p>
            <w:r>
              <w:t>↑0 / ↓2</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$5.77</w:t>
            </w:r>
          </w:p>
        </w:tc>
        <w:tc>
          <w:tcPr>
            <w:tcW w:type="dxa" w:w="1399"/>
            <w:tcBorders>
              <w:top w:val="single" w:sz="4" w:color="BDC3C7"/>
              <w:bottom w:val="single" w:sz="4" w:color="BDC3C7"/>
              <w:left w:val="single" w:sz="4" w:color="BDC3C7"/>
              <w:right w:val="single" w:sz="4" w:color="BDC3C7"/>
            </w:tcBorders>
          </w:tcPr>
          <w:p>
            <w:r>
              <w:t>$3.45 – $7.00</w:t>
            </w:r>
          </w:p>
        </w:tc>
        <w:tc>
          <w:tcPr>
            <w:tcW w:type="dxa" w:w="1399"/>
            <w:tcBorders>
              <w:top w:val="single" w:sz="4" w:color="BDC3C7"/>
              <w:bottom w:val="single" w:sz="4" w:color="BDC3C7"/>
              <w:left w:val="single" w:sz="4" w:color="BDC3C7"/>
              <w:right w:val="single" w:sz="4" w:color="BDC3C7"/>
            </w:tcBorders>
          </w:tcPr>
          <w:p>
            <w:r>
              <w:t>27</w:t>
            </w:r>
          </w:p>
        </w:tc>
        <w:tc>
          <w:tcPr>
            <w:tcW w:type="dxa" w:w="1399"/>
            <w:tcBorders>
              <w:top w:val="single" w:sz="4" w:color="BDC3C7"/>
              <w:bottom w:val="single" w:sz="4" w:color="BDC3C7"/>
              <w:left w:val="single" w:sz="4" w:color="BDC3C7"/>
              <w:right w:val="single" w:sz="4" w:color="BDC3C7"/>
            </w:tcBorders>
          </w:tcPr>
          <w:p>
            <w:r>
              <w:t>+39.9%</w:t>
            </w:r>
          </w:p>
        </w:tc>
        <w:tc>
          <w:tcPr>
            <w:tcW w:type="dxa" w:w="1399"/>
            <w:tcBorders>
              <w:top w:val="single" w:sz="4" w:color="BDC3C7"/>
              <w:bottom w:val="single" w:sz="4" w:color="BDC3C7"/>
              <w:left w:val="single" w:sz="4" w:color="BDC3C7"/>
              <w:right w:val="single" w:sz="4" w:color="BDC3C7"/>
            </w:tcBorders>
          </w:tcPr>
          <w:p>
            <w:r>
              <w:t>↑ +0.026</w:t>
            </w:r>
          </w:p>
        </w:tc>
        <w:tc>
          <w:tcPr>
            <w:tcW w:type="dxa" w:w="1399"/>
            <w:tcBorders>
              <w:top w:val="single" w:sz="4" w:color="BDC3C7"/>
              <w:bottom w:val="single" w:sz="4" w:color="BDC3C7"/>
              <w:left w:val="single" w:sz="4" w:color="BDC3C7"/>
              <w:right w:val="single" w:sz="4" w:color="BDC3C7"/>
            </w:tcBorders>
          </w:tcPr>
          <w:p>
            <w:r>
              <w:t>↑0 / ↓3</w:t>
            </w:r>
          </w:p>
        </w:tc>
      </w:tr>
    </w:tbl>
    <w:p>
      <w:r>
        <w:t>Revenue consensus: Q $0.61B (+54.8%)  |  Q+1 $0.71B (+42.9%)  |  FY $3.14B (+42.7%)  |  FY+1 $4.10B (+30.4%)</w:t>
      </w:r>
    </w:p>
    <w:p>
      <w:r>
        <w:t>Price targets: Mean $225.60  |  Median $240.00  |  Range $125.00–$300.00  |  Current $161.94 (+39.3% to mean)</w:t>
      </w:r>
    </w:p>
    <w:p>
      <w:r>
        <w:t>Analyst ratings (n=31): Strong Buy 5 · Buy 15 · Hold 10 · Sell 1 · Strong Sell 0  ·  65% bullish</w:t>
      </w:r>
    </w:p>
    <w:p>
      <w:r>
        <w:t>Next earnings: 2026-04-30 (3d out)  ·  EPS $1.11 ($1.02–$1.15)  ·  Rev $0.61B</w:t>
      </w:r>
    </w:p>
    <w:p>
      <w:pPr>
        <w:pStyle w:val="SectionHeading"/>
      </w:pPr>
      <w:r>
        <w:t>1. Edge</w:t>
      </w:r>
    </w:p>
    <w:p>
      <w:r>
        <w:t>Street underestimates the durability of Reddit's growth deceleration into 2026 - consensus $4.13 EPS implies ~43% revenue growth, but Q1 2026 guidance of $595-605M represents 17% sequential decline from Q4's $726M, suggesting growth is normalizing faster than the street models.</w:t>
      </w:r>
    </w:p>
    <w:p>
      <w:r>
        <w:t>Consensus appears anchored on Reddit's six consecutive quarters of 60%+ growth without adequately modeling the sequential deceleration embedded in Q1 2026 guidance. Management's Q1 revenue guide of $595-605M implies ~$2.4-2.5B for FY2026 (vs consensus $3.14B), suggesting the street is modeling an acceleration that contradicts management's own near-term outlook. The 'AI authenticity' narrative may be masking underlying user growth and monetization headwinds.</w:t>
      </w:r>
    </w:p>
    <w:p>
      <w:r>
        <w:t>The debate: Whether Reddit can sustain 60%+ revenue growth as it scales past $2B, and if the 'authenticity moat' in an AI-dominated internet translates to durable competitive advantages and pricing power.</w:t>
      </w:r>
    </w:p>
    <w:p>
      <w:pPr>
        <w:pStyle w:val="SubHeading"/>
      </w:pPr>
      <w:r>
        <w:t>What consensus assumes:</w:t>
      </w:r>
    </w:p>
    <w:p>
      <w:pPr>
        <w:pStyle w:val="ListBullet"/>
      </w:pPr>
      <w:r>
        <w:t>revenue_growth_pct: Street likely assumes ~43% revenue growth to reach $3.14B consensus, implying sustained high-growth trajectory despite Q1 guide showing material deceleration</w:t>
      </w:r>
    </w:p>
    <w:p>
      <w:pPr>
        <w:pStyle w:val="ListBullet"/>
      </w:pPr>
      <w:r>
        <w:t>user_growth: Consensus probably models continued 20%+ DAU growth based on recent trends, not accounting for potential saturation as Reddit approaches mainstream adoption</w:t>
      </w:r>
    </w:p>
    <w:p>
      <w:pPr>
        <w:pStyle w:val="ListBullet"/>
      </w:pPr>
      <w:r>
        <w:t>arpu_expansion: Street likely assumes ARPU can continue 40%+ growth rates seen in recent quarters, despite management noting it remains 'low on absolute basis'</w:t>
      </w:r>
    </w:p>
    <w:p>
      <w:pPr>
        <w:pStyle w:val="SubHeading"/>
      </w:pPr>
      <w:r>
        <w:t>Where we differ from guidance:</w:t>
      </w:r>
    </w:p>
    <w:p>
      <w:pPr>
        <w:pStyle w:val="ListBullet"/>
      </w:pPr>
      <w:r>
        <w:t>revenue_growth_pct: Management guides Q1 2026 revenue of $595-605M, implying significant sequential decline from Q4's $726M. We model 15% FY2026 growth vs consensus ~43%, as the Q1 guide suggests growth normalization is happening faster than street expects.</w:t>
      </w:r>
    </w:p>
    <w:p>
      <w:pPr>
        <w:pStyle w:val="PullQuote"/>
      </w:pPr>
      <w:r>
        <w:t>Counter: the analyst claims Street underestimates durability of growth deceleration based on Q1 guidance showing 17% sequential decline — but Management has a documented pattern of conservative guidance with material beats (7-9% under-guide rate), making Q1 guidance likely sandbagged rather than indicative of structural slowdown. The 'edge' is based on misreading management's guidance credibility pattern.</w:t>
      </w:r>
    </w:p>
    <w:p>
      <w:pPr>
        <w:pStyle w:val="SectionHeading"/>
      </w:pPr>
      <w:r>
        <w:t>2. Drivers</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1958"/>
            <w:shd w:val="clear" w:color="auto" w:fill="E8EDF5"/>
            <w:tcBorders>
              <w:top w:val="single" w:sz="4" w:color="BDC3C7"/>
              <w:bottom w:val="single" w:sz="4" w:color="BDC3C7"/>
              <w:left w:val="single" w:sz="4" w:color="BDC3C7"/>
              <w:right w:val="single" w:sz="4" w:color="BDC3C7"/>
            </w:tcBorders>
          </w:tcPr>
          <w:p>
            <w:r>
              <w:rPr>
                <w:b/>
              </w:rPr>
              <w:t>Value</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c>
          <w:tcPr>
            <w:tcW w:type="dxa" w:w="1958"/>
            <w:shd w:val="clear" w:color="auto" w:fill="E8EDF5"/>
            <w:tcBorders>
              <w:top w:val="single" w:sz="4" w:color="BDC3C7"/>
              <w:bottom w:val="single" w:sz="4" w:color="BDC3C7"/>
              <w:left w:val="single" w:sz="4" w:color="BDC3C7"/>
              <w:right w:val="single" w:sz="4" w:color="BDC3C7"/>
            </w:tcBorders>
          </w:tcPr>
          <w:p>
            <w:r>
              <w:rPr>
                <w:b/>
              </w:rPr>
              <w:t>Ev</w:t>
            </w:r>
          </w:p>
        </w:tc>
        <w:tc>
          <w:tcPr>
            <w:tcW w:type="dxa" w:w="195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1958"/>
            <w:tcBorders>
              <w:top w:val="single" w:sz="4" w:color="BDC3C7"/>
              <w:bottom w:val="single" w:sz="4" w:color="BDC3C7"/>
              <w:left w:val="single" w:sz="4" w:color="BDC3C7"/>
              <w:right w:val="single" w:sz="4" w:color="BDC3C7"/>
            </w:tcBorders>
          </w:tcPr>
          <w:p>
            <w:r>
              <w:rPr>
                <w:b/>
              </w:rPr>
              <w:t>revenue_growth</w:t>
            </w:r>
          </w:p>
        </w:tc>
        <w:tc>
          <w:tcPr>
            <w:tcW w:type="dxa" w:w="1958"/>
            <w:tcBorders>
              <w:top w:val="single" w:sz="4" w:color="BDC3C7"/>
              <w:bottom w:val="single" w:sz="4" w:color="BDC3C7"/>
              <w:left w:val="single" w:sz="4" w:color="BDC3C7"/>
              <w:right w:val="single" w:sz="4" w:color="BDC3C7"/>
            </w:tcBorders>
          </w:tcPr>
          <w:p>
            <w:r>
              <w:rPr>
                <w:b/>
              </w:rPr>
              <w:t>+10.00%</w:t>
            </w:r>
          </w:p>
        </w:tc>
        <w:tc>
          <w:tcPr>
            <w:tcW w:type="dxa" w:w="1958"/>
            <w:tcBorders>
              <w:top w:val="single" w:sz="4" w:color="BDC3C7"/>
              <w:bottom w:val="single" w:sz="4" w:color="BDC3C7"/>
              <w:left w:val="single" w:sz="4" w:color="BDC3C7"/>
              <w:right w:val="single" w:sz="4" w:color="BDC3C7"/>
            </w:tcBorders>
          </w:tcPr>
          <w:p>
            <w:r>
              <w:rPr>
                <w:b/>
              </w:rPr>
            </w:r>
          </w:p>
        </w:tc>
        <w:tc>
          <w:tcPr>
            <w:tcW w:type="dxa" w:w="1958"/>
            <w:tcBorders>
              <w:top w:val="single" w:sz="4" w:color="BDC3C7"/>
              <w:bottom w:val="single" w:sz="4" w:color="BDC3C7"/>
              <w:left w:val="single" w:sz="4" w:color="BDC3C7"/>
              <w:right w:val="single" w:sz="4" w:color="BDC3C7"/>
            </w:tcBorders>
          </w:tcPr>
          <w:p>
            <w:r>
              <w:rPr>
                <w:b/>
              </w:rPr>
            </w:r>
          </w:p>
        </w:tc>
        <w:tc>
          <w:tcPr>
            <w:tcW w:type="dxa" w:w="1958"/>
            <w:tcBorders>
              <w:top w:val="single" w:sz="4" w:color="BDC3C7"/>
              <w:bottom w:val="single" w:sz="4" w:color="BDC3C7"/>
              <w:left w:val="single" w:sz="4" w:color="BDC3C7"/>
              <w:right w:val="single" w:sz="4" w:color="BDC3C7"/>
            </w:tcBorders>
          </w:tcPr>
          <w:p>
            <w:r>
              <w:rPr>
                <w:b/>
              </w:rPr>
            </w:r>
          </w:p>
        </w:tc>
      </w:tr>
      <w:tr>
        <w:tc>
          <w:tcPr>
            <w:tcW w:type="dxa" w:w="1958"/>
            <w:tcBorders>
              <w:top w:val="single" w:sz="4" w:color="BDC3C7"/>
              <w:bottom w:val="single" w:sz="4" w:color="BDC3C7"/>
              <w:left w:val="single" w:sz="4" w:color="BDC3C7"/>
              <w:right w:val="single" w:sz="4" w:color="BDC3C7"/>
            </w:tcBorders>
          </w:tcPr>
          <w:p>
            <w:r>
              <w:t xml:space="preserve">    user_growth_contribution</w:t>
            </w:r>
          </w:p>
        </w:tc>
        <w:tc>
          <w:tcPr>
            <w:tcW w:type="dxa" w:w="1958"/>
            <w:tcBorders>
              <w:top w:val="single" w:sz="4" w:color="BDC3C7"/>
              <w:bottom w:val="single" w:sz="4" w:color="BDC3C7"/>
              <w:left w:val="single" w:sz="4" w:color="BDC3C7"/>
              <w:right w:val="single" w:sz="4" w:color="BDC3C7"/>
            </w:tcBorders>
          </w:tcPr>
          <w:p>
            <w:r>
              <w:t>+5.00%</w:t>
            </w:r>
          </w:p>
        </w:tc>
        <w:tc>
          <w:tcPr>
            <w:tcW w:type="dxa" w:w="1958"/>
            <w:tcBorders>
              <w:top w:val="single" w:sz="4" w:color="BDC3C7"/>
              <w:bottom w:val="single" w:sz="4" w:color="BDC3C7"/>
              <w:left w:val="single" w:sz="4" w:color="BDC3C7"/>
              <w:right w:val="single" w:sz="4" w:color="BDC3C7"/>
            </w:tcBorders>
          </w:tcPr>
          <w:p>
            <w:r>
              <w:t>0.60</w:t>
            </w:r>
          </w:p>
        </w:tc>
        <w:tc>
          <w:tcPr>
            <w:tcW w:type="dxa" w:w="1958"/>
            <w:tcBorders>
              <w:top w:val="single" w:sz="4" w:color="BDC3C7"/>
              <w:bottom w:val="single" w:sz="4" w:color="BDC3C7"/>
              <w:left w:val="single" w:sz="4" w:color="BDC3C7"/>
              <w:right w:val="single" w:sz="4" w:color="BDC3C7"/>
            </w:tcBorders>
          </w:tcPr>
          <w:p>
            <w:r/>
            <w:r>
              <w:rPr>
                <w:b/>
                <w:color w:val="2E5A88"/>
              </w:rPr>
              <w:t>I</w:t>
            </w:r>
          </w:p>
        </w:tc>
        <w:tc>
          <w:tcPr>
            <w:tcW w:type="dxa" w:w="1958"/>
            <w:tcBorders>
              <w:top w:val="single" w:sz="4" w:color="BDC3C7"/>
              <w:bottom w:val="single" w:sz="4" w:color="BDC3C7"/>
              <w:left w:val="single" w:sz="4" w:color="BDC3C7"/>
              <w:right w:val="single" w:sz="4" w:color="BDC3C7"/>
            </w:tcBorders>
          </w:tcPr>
          <w:p>
            <w:r>
              <w:t>DAU growth decelerated from 24% in Q2 2025 to 19% in Q4 2025, showing sequential moderation. In the Q4 2025 call, management noted they're 'focused on driving user growth, retention, and deeper engagement' but provided n  [auto-downgraded: citation text not found in corpus: 'Q4 2025 call: 'Daily Active Uniques averaged 121.4 million, an increase of 19% y...']</w:t>
            </w:r>
          </w:p>
        </w:tc>
      </w:tr>
      <w:tr>
        <w:tc>
          <w:tcPr>
            <w:tcW w:type="dxa" w:w="1958"/>
            <w:tcBorders>
              <w:top w:val="single" w:sz="4" w:color="BDC3C7"/>
              <w:bottom w:val="single" w:sz="4" w:color="BDC3C7"/>
              <w:left w:val="single" w:sz="4" w:color="BDC3C7"/>
              <w:right w:val="single" w:sz="4" w:color="BDC3C7"/>
            </w:tcBorders>
          </w:tcPr>
          <w:p>
            <w:r>
              <w:t xml:space="preserve">    arpu_expansion</w:t>
            </w:r>
          </w:p>
        </w:tc>
        <w:tc>
          <w:tcPr>
            <w:tcW w:type="dxa" w:w="1958"/>
            <w:tcBorders>
              <w:top w:val="single" w:sz="4" w:color="BDC3C7"/>
              <w:bottom w:val="single" w:sz="4" w:color="BDC3C7"/>
              <w:left w:val="single" w:sz="4" w:color="BDC3C7"/>
              <w:right w:val="single" w:sz="4" w:color="BDC3C7"/>
            </w:tcBorders>
          </w:tcPr>
          <w:p>
            <w:r>
              <w:t>+3.00%</w:t>
            </w:r>
          </w:p>
        </w:tc>
        <w:tc>
          <w:tcPr>
            <w:tcW w:type="dxa" w:w="1958"/>
            <w:tcBorders>
              <w:top w:val="single" w:sz="4" w:color="BDC3C7"/>
              <w:bottom w:val="single" w:sz="4" w:color="BDC3C7"/>
              <w:left w:val="single" w:sz="4" w:color="BDC3C7"/>
              <w:right w:val="single" w:sz="4" w:color="BDC3C7"/>
            </w:tcBorders>
          </w:tcPr>
          <w:p>
            <w:r>
              <w:t>0.55</w:t>
            </w:r>
          </w:p>
        </w:tc>
        <w:tc>
          <w:tcPr>
            <w:tcW w:type="dxa" w:w="1958"/>
            <w:tcBorders>
              <w:top w:val="single" w:sz="4" w:color="BDC3C7"/>
              <w:bottom w:val="single" w:sz="4" w:color="BDC3C7"/>
              <w:left w:val="single" w:sz="4" w:color="BDC3C7"/>
              <w:right w:val="single" w:sz="4" w:color="BDC3C7"/>
            </w:tcBorders>
          </w:tcPr>
          <w:p>
            <w:r/>
            <w:r>
              <w:rPr>
                <w:b/>
                <w:color w:val="2E5A88"/>
              </w:rPr>
              <w:t>I</w:t>
            </w:r>
          </w:p>
        </w:tc>
        <w:tc>
          <w:tcPr>
            <w:tcW w:type="dxa" w:w="1958"/>
            <w:tcBorders>
              <w:top w:val="single" w:sz="4" w:color="BDC3C7"/>
              <w:bottom w:val="single" w:sz="4" w:color="BDC3C7"/>
              <w:left w:val="single" w:sz="4" w:color="BDC3C7"/>
              <w:right w:val="single" w:sz="4" w:color="BDC3C7"/>
            </w:tcBorders>
          </w:tcPr>
          <w:p>
            <w:r>
              <w:t>ARPU grew 42% year-over-year to $5.98 in Q4 2025, but management consistently notes it 'remains low on an absolute basis and remains an opportunity.' The Q1 2026 revenue guidance of $595-605M vs Q4 actual of $726M implie  [auto-downgraded: basis contains numbers not found in corpus: 17%]</w:t>
            </w:r>
          </w:p>
        </w:tc>
      </w:tr>
      <w:tr>
        <w:tc>
          <w:tcPr>
            <w:tcW w:type="dxa" w:w="1958"/>
            <w:tcBorders>
              <w:top w:val="single" w:sz="4" w:color="BDC3C7"/>
              <w:bottom w:val="single" w:sz="4" w:color="BDC3C7"/>
              <w:left w:val="single" w:sz="4" w:color="BDC3C7"/>
              <w:right w:val="single" w:sz="4" w:color="BDC3C7"/>
            </w:tcBorders>
          </w:tcPr>
          <w:p>
            <w:r>
              <w:t xml:space="preserve">    pricing_optimization</w:t>
            </w:r>
          </w:p>
        </w:tc>
        <w:tc>
          <w:tcPr>
            <w:tcW w:type="dxa" w:w="1958"/>
            <w:tcBorders>
              <w:top w:val="single" w:sz="4" w:color="BDC3C7"/>
              <w:bottom w:val="single" w:sz="4" w:color="BDC3C7"/>
              <w:left w:val="single" w:sz="4" w:color="BDC3C7"/>
              <w:right w:val="single" w:sz="4" w:color="BDC3C7"/>
            </w:tcBorders>
          </w:tcPr>
          <w:p>
            <w:r>
              <w:t>+2.00%</w:t>
            </w:r>
          </w:p>
        </w:tc>
        <w:tc>
          <w:tcPr>
            <w:tcW w:type="dxa" w:w="1958"/>
            <w:tcBorders>
              <w:top w:val="single" w:sz="4" w:color="BDC3C7"/>
              <w:bottom w:val="single" w:sz="4" w:color="BDC3C7"/>
              <w:left w:val="single" w:sz="4" w:color="BDC3C7"/>
              <w:right w:val="single" w:sz="4" w:color="BDC3C7"/>
            </w:tcBorders>
          </w:tcPr>
          <w:p>
            <w:r>
              <w:t>0.45</w:t>
            </w:r>
          </w:p>
        </w:tc>
        <w:tc>
          <w:tcPr>
            <w:tcW w:type="dxa" w:w="1958"/>
            <w:tcBorders>
              <w:top w:val="single" w:sz="4" w:color="BDC3C7"/>
              <w:bottom w:val="single" w:sz="4" w:color="BDC3C7"/>
              <w:left w:val="single" w:sz="4" w:color="BDC3C7"/>
              <w:right w:val="single" w:sz="4" w:color="BDC3C7"/>
            </w:tcBorders>
          </w:tcPr>
          <w:p>
            <w:r/>
            <w:r>
              <w:rPr>
                <w:b/>
                <w:color w:val="2E5A88"/>
              </w:rPr>
              <w:t>I</w:t>
            </w:r>
          </w:p>
        </w:tc>
        <w:tc>
          <w:tcPr>
            <w:tcW w:type="dxa" w:w="1958"/>
            <w:tcBorders>
              <w:top w:val="single" w:sz="4" w:color="BDC3C7"/>
              <w:bottom w:val="single" w:sz="4" w:color="BDC3C7"/>
              <w:left w:val="single" w:sz="4" w:color="BDC3C7"/>
              <w:right w:val="single" w:sz="4" w:color="BDC3C7"/>
            </w:tcBorders>
          </w:tcPr>
          <w:p>
            <w:r>
              <w:t>Management noted in Q4 2025 that 'impression growth was the main driver of revenue growth, while pricing grew year over year as we delivered more outcomes and efficiency for advertisers.' However, the emphasis on impress  [auto-downgraded: citation text not found in corpus: 'Q4 2025 call: 'impression growth was the main driver of revenue growth, while pr...']</w:t>
            </w:r>
          </w:p>
        </w:tc>
      </w:tr>
    </w:tbl>
    <w:p>
      <w:pPr>
        <w:pStyle w:val="ReportCaption"/>
      </w:pPr>
      <w:r>
        <w:t>Evidence: C = cited (verbatim support in corpus),  I = inferred (logical chain from cited facts),  S = speculative (plausible mechanism, no direct support).</w:t>
      </w:r>
    </w:p>
    <w:p>
      <w:pPr>
        <w:pStyle w:val="SubHeading"/>
      </w:pPr>
      <w:r>
        <w:t>Bear revisions:</w:t>
      </w:r>
    </w:p>
    <w:p>
      <w:pPr>
        <w:pStyle w:val="ListBullet"/>
      </w:pPr>
      <w:r>
        <w:t>revenue_growth.user_growth_contribution: 8.0 → 5.0 — If Reddit's user growth continues decelerating from 19% toward mid-teens as platform matures, and international expansion faces increasing competition from local platforms</w:t>
      </w:r>
    </w:p>
    <w:p>
      <w:pPr>
        <w:pStyle w:val="ListBullet"/>
      </w:pPr>
      <w:r>
        <w:t>revenue_growth.arpu_expansion: 5.0 → 2.0 — If the sequential Q1 decline signals broader ARPU pressure from advertiser budget optimization or competitive dynamics in digital advertising</w:t>
      </w:r>
    </w:p>
    <w:p>
      <w:pPr>
        <w:pStyle w:val="PullQuote"/>
      </w:pPr>
      <w:r>
        <w:t>Counter: the analyst claims Revenue growth driven by user growth (8%), ARPU expansion (5%), and pricing optimization (2%) — but No segment-level revenue disclosure means the 95%/5% advertising/data licensing split is unverifiable. If data licensing is actually larger and more volatile, the growth drivers are fundamentally misunderstood. AI licensing deals are likely lumpy and non-recurring, not steady ARPU expansion.</w:t>
      </w:r>
    </w:p>
    <w:p>
      <w:pPr>
        <w:pStyle w:val="SectionHeading"/>
      </w:pPr>
      <w:r>
        <w:t>3. Consensus Gap &amp; Valuation</w:t>
      </w:r>
    </w:p>
    <w:p>
      <w:r>
        <w:t>Our estimate: EPS $9.85 vs. consensus $4.13 ($5.72 / 138.7% above).</w:t>
      </w:r>
    </w:p>
    <w:p>
      <w:r>
        <w:t>Our estimate is $5.72 (138.7%) above consensus $4.13. No single driver within plausible bounds can close the gap to consensus when other drivers are held at our values; the EPS variant is diffuse (top magnitude: revenue_growth.user_growth_contribution). Variant appears NOT fully priced in based on available market data. Next catalyst: Next quarterly earnings report (2026-04-30 (3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revenue_growth.user_growth_contribution</w:t>
            </w:r>
          </w:p>
        </w:tc>
        <w:tc>
          <w:tcPr>
            <w:tcW w:type="dxa" w:w="1958"/>
            <w:tcBorders>
              <w:top w:val="single" w:sz="4" w:color="BDC3C7"/>
              <w:bottom w:val="single" w:sz="4" w:color="BDC3C7"/>
              <w:left w:val="single" w:sz="4" w:color="BDC3C7"/>
              <w:right w:val="single" w:sz="4" w:color="BDC3C7"/>
            </w:tcBorders>
          </w:tcPr>
          <w:p>
            <w:r>
              <w:t>+5.00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0.40</w:t>
            </w:r>
          </w:p>
        </w:tc>
      </w:tr>
      <w:tr>
        <w:tc>
          <w:tcPr>
            <w:tcW w:type="dxa" w:w="1958"/>
            <w:tcBorders>
              <w:top w:val="single" w:sz="4" w:color="BDC3C7"/>
              <w:bottom w:val="single" w:sz="4" w:color="BDC3C7"/>
              <w:left w:val="single" w:sz="4" w:color="BDC3C7"/>
              <w:right w:val="single" w:sz="4" w:color="BDC3C7"/>
            </w:tcBorders>
          </w:tcPr>
          <w:p>
            <w:r>
              <w:t>revenue_growth.arpu_expansion</w:t>
            </w:r>
          </w:p>
        </w:tc>
        <w:tc>
          <w:tcPr>
            <w:tcW w:type="dxa" w:w="1958"/>
            <w:tcBorders>
              <w:top w:val="single" w:sz="4" w:color="BDC3C7"/>
              <w:bottom w:val="single" w:sz="4" w:color="BDC3C7"/>
              <w:left w:val="single" w:sz="4" w:color="BDC3C7"/>
              <w:right w:val="single" w:sz="4" w:color="BDC3C7"/>
            </w:tcBorders>
          </w:tcPr>
          <w:p>
            <w:r>
              <w:t>+3.00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0.35</w:t>
            </w:r>
          </w:p>
        </w:tc>
      </w:tr>
      <w:tr>
        <w:tc>
          <w:tcPr>
            <w:tcW w:type="dxa" w:w="1958"/>
            <w:tcBorders>
              <w:top w:val="single" w:sz="4" w:color="BDC3C7"/>
              <w:bottom w:val="single" w:sz="4" w:color="BDC3C7"/>
              <w:left w:val="single" w:sz="4" w:color="BDC3C7"/>
              <w:right w:val="single" w:sz="4" w:color="BDC3C7"/>
            </w:tcBorders>
          </w:tcPr>
          <w:p>
            <w:r>
              <w:t>revenue_growth.pricing_optimization</w:t>
            </w:r>
          </w:p>
        </w:tc>
        <w:tc>
          <w:tcPr>
            <w:tcW w:type="dxa" w:w="1958"/>
            <w:tcBorders>
              <w:top w:val="single" w:sz="4" w:color="BDC3C7"/>
              <w:bottom w:val="single" w:sz="4" w:color="BDC3C7"/>
              <w:left w:val="single" w:sz="4" w:color="BDC3C7"/>
              <w:right w:val="single" w:sz="4" w:color="BDC3C7"/>
            </w:tcBorders>
          </w:tcPr>
          <w:p>
            <w:r>
              <w:t>+2.00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0.25</w:t>
            </w:r>
          </w:p>
        </w:tc>
      </w:tr>
    </w:tbl>
    <w:p>
      <w:pPr>
        <w:pStyle w:val="PullQuote"/>
      </w:pPr>
      <w:r>
        <w:t>Rows marked 'n/a (unreachable)' mean no single value of that driver within plausible bounds would produce consensus EPS when other drivers are held at our values — i.e., the EPS gap can't be attributed to that driver alone. The ΔEPS column is not shown for those rows because the implied-street value would be a search-bound artifact, not a real derivation.</w:t>
      </w:r>
    </w:p>
    <w:p>
      <w:r>
        <w:t>Priced in: not fully — Variant (+138.7%) exceeds implied move (8.2%). Short interest 12.1% supports</w:t>
      </w:r>
    </w:p>
    <w:p>
      <w:r>
        <w:t>Edge verdict: ACTIONABLE_EDGE (score 0.400).</w:t>
      </w:r>
    </w:p>
    <w:p>
      <w:pPr>
        <w:pStyle w:val="PullQuote"/>
      </w:pPr>
      <w:r>
        <w:t>Counter: the analyst claims Consensus $4.13 EPS assumes 43% revenue growth that's too optimistic — but $1B buyback program (disclosed in filing) represents 40% of current enterprise value and could drive massive EPS accretion through share reduction alone. Consensus may be conservative on buyback execution impact, not optimistic on operational growth.</w:t>
      </w:r>
    </w:p>
    <w:p>
      <w:pPr>
        <w:pStyle w:val="SectionHeading"/>
      </w:pPr>
      <w:r>
        <w:t>4. Catalysts</w:t>
      </w:r>
    </w:p>
    <w:p>
      <w:pPr>
        <w:pStyle w:val="ListBullet"/>
      </w:pPr>
      <w:r>
        <w:t>Next quarterly earnings report (2026-04-30 (3 days)) — resolves revenue + margins + guidance; confirms or challenges</w:t>
      </w:r>
    </w:p>
    <w:p>
      <w:pPr>
        <w:pStyle w:val="ListBullet"/>
      </w:pPr>
      <w:r>
        <w:t>Resolution: Reddit's 'authenticity moat' drives sustainable premium growth (Resolves at earnings (2026-04-30)) — resolves revenue_growth; confirms or challenges</w:t>
      </w:r>
    </w:p>
    <w:p>
      <w:pPr>
        <w:pStyle w:val="ListBullet"/>
      </w:pPr>
      <w:r>
        <w:t>Resolution: AI positioning creates durable competitive advantages (Resolves at earnings (2026-04-30)) — resolves revenue_growth; confirms or challenges</w:t>
      </w:r>
    </w:p>
    <w:p>
      <w:pPr>
        <w:pStyle w:val="ListBullet"/>
      </w:pPr>
      <w:r>
        <w:t>Resolution: Analyst blind spot (Multi-year thesis -- patience required) — resolves general; confirms or challenges</w:t>
      </w:r>
    </w:p>
    <w:p>
      <w:pPr>
        <w:pStyle w:val="ListBullet"/>
      </w:pPr>
      <w:r>
        <w:t>Specific breakdown of Q4 2025 revenue seasonality vs underlying trends (Unknown timing) — resolves multiple; resolves uncertainty</w:t>
      </w:r>
    </w:p>
    <w:p>
      <w:pPr>
        <w:pStyle w:val="ListBullet"/>
      </w:pPr>
      <w:r>
        <w:t>Quantified impact of new Reddit Max campaigns and ML optimization on pricing (Unknown timing) — resolves multiple; resolves uncertainty</w:t>
      </w:r>
    </w:p>
    <w:p>
      <w:pPr>
        <w:pStyle w:val="SectionHeading"/>
      </w:pPr>
      <w:r>
        <w:t>5. Risks, Blind Spots &amp; Kill Criteria</w:t>
      </w:r>
    </w:p>
    <w:p>
      <w:pPr>
        <w:pStyle w:val="SubHeading"/>
      </w:pPr>
      <w:r>
        <w:t>Top risks:</w:t>
      </w:r>
    </w:p>
    <w:p>
      <w:pPr>
        <w:pStyle w:val="ListBullet"/>
      </w:pPr>
      <w:r>
        <w:t>Reddit's 'authenticity moat' drives sustainable premium growth — counter: Q1 2026 revenue guidance of $595-605M represents a 17% sequential decline from Q4's $726M, contradicting the narrative of sustained premium growth. Management's emphasis on needing to 'preserve authenticity' suggests this moat may be under pressure rather than strengthening. [serious]</w:t>
      </w:r>
    </w:p>
    <w:p>
      <w:pPr>
        <w:pStyle w:val="ListBullet"/>
      </w:pPr>
      <w:r>
        <w:t>Q1 2026 guidance of $595-605M represents 17% sequential decline from Q4's $726M, suggesting growth is normalizing faster than the street models — counter: Management has systematically under-guided revenue by 7-9% in every quarter (Q3 actual $585M vs guide $535-545M, Q4 actual $726M vs guide $655-665M) per guidance tracker in transcripts. This suggests Q1 guide likely conservative sandbagging, not structural deceleration [serious]</w:t>
      </w:r>
    </w:p>
    <w:p>
      <w:pPr>
        <w:pStyle w:val="ListBullet"/>
      </w:pPr>
      <w:r>
        <w:t>AI positioning creates durable competitive advantages — counter: Data licensing revenue (the direct AI monetization) was only $36M in Q4 2025, up just 8% year-over-year, showing minimal contribution to overall growth. The 'AI slop' defensive positioning suggests Reddit is reacting to threats rather than capitalizing on opportunities. [moderate]</w:t>
      </w:r>
    </w:p>
    <w:p>
      <w:pPr>
        <w:pStyle w:val="SubHeading"/>
      </w:pPr>
      <w:r>
        <w:t>Blind spots (auditor-independent):</w:t>
      </w:r>
    </w:p>
    <w:p>
      <w:pPr>
        <w:pStyle w:val="ListBullet"/>
      </w:pPr>
      <w:r>
        <w:t>Reddit's $1B share buyback program authorized in Q4 2025 - this represents massive capital return (40% of current market cap based on $2.5B cash position) that could drive significant EPS accretion independent of operational performance</w:t>
      </w:r>
    </w:p>
    <w:p>
      <w:pPr>
        <w:pStyle w:val="ListBullet"/>
      </w:pPr>
      <w:r>
        <w:t>Seasonal advertising patterns - Q1 is historically weakest quarter for digital advertising across all platforms, making sequential decline from Q4 normal rather than concerning</w:t>
      </w:r>
    </w:p>
    <w:p>
      <w:pPr>
        <w:pStyle w:val="ListBullet"/>
      </w:pPr>
      <w:r>
        <w:t>Competition from AI-generated content platforms - if authenticity is the moat, what happens when AI becomes indistinguishable from human content?</w:t>
      </w:r>
    </w:p>
    <w:p>
      <w:pPr>
        <w:pStyle w:val="KillCriteria"/>
      </w:pPr>
      <w:r>
        <w:t>What would change our mind: Unable to close gap: Specific breakdown of Q4 2025 revenue seasonality vs underlying trends</w:t>
      </w:r>
    </w:p>
    <w:p>
      <w:pPr>
        <w:pStyle w:val="SectionHeading"/>
      </w:pPr>
      <w:r>
        <w:t>Appendix</w:t>
      </w:r>
    </w:p>
    <w:p>
      <w:pPr>
        <w:pStyle w:val="SubHeading"/>
      </w:pPr>
      <w:r>
        <w:t>Business context:</w:t>
      </w:r>
    </w:p>
    <w:p>
      <w:r>
        <w:t>Reddit operates a community-based social platform with 121 million daily active users, monetizing primarily through advertising revenue (~95% of total) and data licensing to AI companies (~5%). The platform's unique value proposition is authentic human conversation and community-driven content that serves as essential training data for AI models.</w:t>
      </w:r>
    </w:p>
    <w:p>
      <w:pPr>
        <w:pStyle w:val="SubHeading"/>
      </w:pPr>
      <w:r>
        <w:t>Evidence gaps (research TODO):</w:t>
      </w:r>
    </w:p>
    <w:p>
      <w:pPr>
        <w:pStyle w:val="ListBullet"/>
      </w:pPr>
      <w:r>
        <w:t>Specific breakdown of Q4 2025 revenue seasonality vs underlying trends</w:t>
      </w:r>
    </w:p>
    <w:p>
      <w:pPr>
        <w:pStyle w:val="ListBullet"/>
      </w:pPr>
      <w:r>
        <w:t>Quantified impact of new Reddit Max campaigns and ML optimization on pricing</w:t>
      </w:r>
    </w:p>
    <w:p>
      <w:pPr>
        <w:pStyle w:val="ListBullet"/>
      </w:pPr>
      <w:r>
        <w:t>Detailed international user growth and monetization trajectory by region</w:t>
      </w:r>
    </w:p>
    <w:p>
      <w:pPr>
        <w:pStyle w:val="ListBullet"/>
      </w:pPr>
      <w:r>
        <w:t>Competitive positioning data vs other social platforms for advertiser spend allocation</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