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SBH — SBH</w:t>
      </w:r>
    </w:p>
    <w:p>
      <w:pPr>
        <w:pStyle w:val="SmallMeta"/>
      </w:pPr>
      <w:r>
        <w:t>As of 2026-06-01  |  Schema: general  |  Data: polygon+alpha_vantage (FY2025)</w:t>
      </w:r>
    </w:p>
    <w:p>
      <w:pPr>
        <w:pStyle w:val="SubHeading"/>
      </w:pPr>
      <w:r>
        <w:rPr>
          <w:color w:val="8C1D40"/>
        </w:rPr>
        <w:t>Direction: LONG | Current: $13.28</w:t>
      </w:r>
    </w:p>
    <w:p>
      <w:pPr>
        <w:pStyle w:val="SubHeading"/>
      </w:pPr>
      <w:r>
        <w:t>Summary</w:t>
      </w:r>
    </w:p>
    <w:p>
      <w:pPr>
        <w:pStyle w:val="ListBullet"/>
      </w:pPr>
      <w:r>
        <w:t>Thesis: Consensus underestimates FY2026 EPS upside from accelerating Fuel for Growth benefits and conservative Q3/Q4 guidance patterns, while overestimating revenue growth sustainability given sequential deceleration in core Sally segment momentum.</w:t>
      </w:r>
    </w:p>
    <w:p>
      <w:pPr>
        <w:pStyle w:val="ListBullet"/>
      </w:pPr>
      <w:r>
        <w:t>Next catalyst: Next quarterly earnings report (2026-08-04 (64 days))</w:t>
      </w:r>
    </w:p>
    <w:p>
      <w:pPr>
        <w:pStyle w:val="ListBullet"/>
      </w:pPr>
      <w:r>
        <w:t>Top risk: Edge hypothesis assumes 'conservative Q3/Q4 guidance patterns' creating upside opportunity</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revenue_growth diverges from guide per guidance_vs_our_view but the basis prose does not cite management's guide directly. A divergence-from-guide thesis requires an explicit guide quote ('mgmt guided $X-Y on Q_ call') and a named reason for the gap, not general skepticism.</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'consumer_discretionary'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$0.53</w:t>
            </w:r>
          </w:p>
        </w:tc>
        <w:tc>
          <w:tcPr>
            <w:tcW w:type="dxa" w:w="1399"/>
            <w:tcBorders>
              <w:top w:val="single" w:sz="4" w:color="BDC3C7"/>
              <w:bottom w:val="single" w:sz="4" w:color="BDC3C7"/>
              <w:left w:val="single" w:sz="4" w:color="BDC3C7"/>
              <w:right w:val="single" w:sz="4" w:color="BDC3C7"/>
            </w:tcBorders>
          </w:tcPr>
          <w:p>
            <w:r>
              <w:t>$0.53 – $0.54</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+4.7%</w:t>
            </w:r>
          </w:p>
        </w:tc>
        <w:tc>
          <w:tcPr>
            <w:tcW w:type="dxa" w:w="1399"/>
            <w:tcBorders>
              <w:top w:val="single" w:sz="4" w:color="BDC3C7"/>
              <w:bottom w:val="single" w:sz="4" w:color="BDC3C7"/>
              <w:left w:val="single" w:sz="4" w:color="BDC3C7"/>
              <w:right w:val="single" w:sz="4" w:color="BDC3C7"/>
            </w:tcBorders>
          </w:tcPr>
          <w:p>
            <w:r>
              <w:t>↓ -0.043</w:t>
            </w:r>
          </w:p>
        </w:tc>
        <w:tc>
          <w:tcPr>
            <w:tcW w:type="dxa" w:w="1399"/>
            <w:tcBorders>
              <w:top w:val="single" w:sz="4" w:color="BDC3C7"/>
              <w:bottom w:val="single" w:sz="4" w:color="BDC3C7"/>
              <w:left w:val="single" w:sz="4" w:color="BDC3C7"/>
              <w:right w:val="single" w:sz="4" w:color="BDC3C7"/>
            </w:tcBorders>
          </w:tcPr>
          <w:p>
            <w:r>
              <w:t>↑0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$0.61</w:t>
            </w:r>
          </w:p>
        </w:tc>
        <w:tc>
          <w:tcPr>
            <w:tcW w:type="dxa" w:w="1399"/>
            <w:tcBorders>
              <w:top w:val="single" w:sz="4" w:color="BDC3C7"/>
              <w:bottom w:val="single" w:sz="4" w:color="BDC3C7"/>
              <w:left w:val="single" w:sz="4" w:color="BDC3C7"/>
              <w:right w:val="single" w:sz="4" w:color="BDC3C7"/>
            </w:tcBorders>
          </w:tcPr>
          <w:p>
            <w:r>
              <w:t>$0.59 – $0.63</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+10.6%</w:t>
            </w:r>
          </w:p>
        </w:tc>
        <w:tc>
          <w:tcPr>
            <w:tcW w:type="dxa" w:w="1399"/>
            <w:tcBorders>
              <w:top w:val="single" w:sz="4" w:color="BDC3C7"/>
              <w:bottom w:val="single" w:sz="4" w:color="BDC3C7"/>
              <w:left w:val="single" w:sz="4" w:color="BDC3C7"/>
              <w:right w:val="single" w:sz="4" w:color="BDC3C7"/>
            </w:tcBorders>
          </w:tcPr>
          <w:p>
            <w:r>
              <w:t>≈ +0.003</w:t>
            </w:r>
          </w:p>
        </w:tc>
        <w:tc>
          <w:tcPr>
            <w:tcW w:type="dxa" w:w="1399"/>
            <w:tcBorders>
              <w:top w:val="single" w:sz="4" w:color="BDC3C7"/>
              <w:bottom w:val="single" w:sz="4" w:color="BDC3C7"/>
              <w:left w:val="single" w:sz="4" w:color="BDC3C7"/>
              <w:right w:val="single" w:sz="4" w:color="BDC3C7"/>
            </w:tcBorders>
          </w:tcPr>
          <w:p>
            <w:r>
              <w:t>↑2 / ↓1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$2.06</w:t>
            </w:r>
          </w:p>
        </w:tc>
        <w:tc>
          <w:tcPr>
            <w:tcW w:type="dxa" w:w="1399"/>
            <w:tcBorders>
              <w:top w:val="single" w:sz="4" w:color="BDC3C7"/>
              <w:bottom w:val="single" w:sz="4" w:color="BDC3C7"/>
              <w:left w:val="single" w:sz="4" w:color="BDC3C7"/>
              <w:right w:val="single" w:sz="4" w:color="BDC3C7"/>
            </w:tcBorders>
          </w:tcPr>
          <w:p>
            <w:r>
              <w:t>$2.04 – $2.09</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+8.4%</w:t>
            </w:r>
          </w:p>
        </w:tc>
        <w:tc>
          <w:tcPr>
            <w:tcW w:type="dxa" w:w="1399"/>
            <w:tcBorders>
              <w:top w:val="single" w:sz="4" w:color="BDC3C7"/>
              <w:bottom w:val="single" w:sz="4" w:color="BDC3C7"/>
              <w:left w:val="single" w:sz="4" w:color="BDC3C7"/>
              <w:right w:val="single" w:sz="4" w:color="BDC3C7"/>
            </w:tcBorders>
          </w:tcPr>
          <w:p>
            <w:r>
              <w:t>↓ -0.008</w:t>
            </w:r>
          </w:p>
        </w:tc>
        <w:tc>
          <w:tcPr>
            <w:tcW w:type="dxa" w:w="1399"/>
            <w:tcBorders>
              <w:top w:val="single" w:sz="4" w:color="BDC3C7"/>
              <w:bottom w:val="single" w:sz="4" w:color="BDC3C7"/>
              <w:left w:val="single" w:sz="4" w:color="BDC3C7"/>
              <w:right w:val="single" w:sz="4" w:color="BDC3C7"/>
            </w:tcBorders>
          </w:tcPr>
          <w:p>
            <w:r>
              <w:t>↑0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$2.23</w:t>
            </w:r>
          </w:p>
        </w:tc>
        <w:tc>
          <w:tcPr>
            <w:tcW w:type="dxa" w:w="1399"/>
            <w:tcBorders>
              <w:top w:val="single" w:sz="4" w:color="BDC3C7"/>
              <w:bottom w:val="single" w:sz="4" w:color="BDC3C7"/>
              <w:left w:val="single" w:sz="4" w:color="BDC3C7"/>
              <w:right w:val="single" w:sz="4" w:color="BDC3C7"/>
            </w:tcBorders>
          </w:tcPr>
          <w:p>
            <w:r>
              <w:t>$2.19 – $2.26</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+8.5%</w:t>
            </w:r>
          </w:p>
        </w:tc>
        <w:tc>
          <w:tcPr>
            <w:tcW w:type="dxa" w:w="1399"/>
            <w:tcBorders>
              <w:top w:val="single" w:sz="4" w:color="BDC3C7"/>
              <w:bottom w:val="single" w:sz="4" w:color="BDC3C7"/>
              <w:left w:val="single" w:sz="4" w:color="BDC3C7"/>
              <w:right w:val="single" w:sz="4" w:color="BDC3C7"/>
            </w:tcBorders>
          </w:tcPr>
          <w:p>
            <w:r>
              <w:t>↓ -0.026</w:t>
            </w:r>
          </w:p>
        </w:tc>
        <w:tc>
          <w:tcPr>
            <w:tcW w:type="dxa" w:w="1399"/>
            <w:tcBorders>
              <w:top w:val="single" w:sz="4" w:color="BDC3C7"/>
              <w:bottom w:val="single" w:sz="4" w:color="BDC3C7"/>
              <w:left w:val="single" w:sz="4" w:color="BDC3C7"/>
              <w:right w:val="single" w:sz="4" w:color="BDC3C7"/>
            </w:tcBorders>
          </w:tcPr>
          <w:p>
            <w:r>
              <w:t>↑1 / ↓2</w:t>
            </w:r>
          </w:p>
        </w:tc>
      </w:tr>
    </w:tbl>
    <w:p>
      <w:r>
        <w:t>Revenue consensus: Q $0.94B (+0.6%)  |  Q+1 $0.96B (+0.9%)  |  FY $3.74B (+1.0%)  |  FY+1 $3.83B (+2.4%)</w:t>
      </w:r>
    </w:p>
    <w:p>
      <w:r>
        <w:t>Price targets: Mean $16.40  |  Median $17.00  |  Range $13.00–$20.00  |  Current $13.28 (+23.5% to mean)</w:t>
      </w:r>
    </w:p>
    <w:p>
      <w:r>
        <w:t>Analyst ratings (n=5): Strong Buy 1 · Buy 2 · Hold 1 · Sell 1 · Strong Sell 0  ·  60% bullish</w:t>
      </w:r>
    </w:p>
    <w:p>
      <w:r>
        <w:t>Next earnings: 2026-08-04 (64d out)  ·  EPS $0.53 ($0.53–$0.54)  ·  Rev $0.94B</w:t>
      </w:r>
    </w:p>
    <w:p>
      <w:pPr>
        <w:pStyle w:val="SectionHeading"/>
      </w:pPr>
      <w:r>
        <w:t>1. Research Synthesis</w:t>
      </w:r>
    </w:p>
    <w:p>
      <w:r>
        <w:t>Sally Beauty's Q2 2026 results demonstrate the emerging power of its strategic transformation, but also reveal subtle signs that the revenue momentum may be more fragile than consensus assumes. The company delivered total sales of $903 million (up 2.3% YoY) and comparable sales growth of 1.3%, which management characterized as 'at the high end of our expectations' - language that suggests limited upside buffer rather than conservative sandbagging. This contrasts with Q1 2026, when results came in 'above our guidance range,' indicating a sequential moderation in the beat magnitude that consensus may not fully appreciate.</w:t>
      </w:r>
    </w:p>
    <w:p>
      <w:pPr>
        <w:pStyle w:val="ListBullet"/>
      </w:pPr>
      <w:r>
        <w:rPr>
          <w:i/>
        </w:rPr>
        <w:t>→ Research confirms: Sally Beauty's Q2 2026 results (ended March 31, 2026) show 2.3% net sales growth to $903.4M and 1.3% comparable sales growth with 52.7% gross margin expansion, supporting the claim of strategic transformation execution alongside modest revenue momentum. (businesswire.com)</w:t>
      </w:r>
    </w:p>
    <w:p>
      <w:pPr>
        <w:pStyle w:val="ListBullet"/>
      </w:pPr>
      <w:r>
        <w:rPr>
          <w:i/>
        </w:rPr>
        <w:t>→ Research confirms: Sally Beauty Q2 2026 (ended March 31) reported total sales of $903 million, up 2.3% YoY, with comparable sales growth of 1.3%, exactly matching the verbatim claim. (theglobeandmail.com)</w:t>
      </w:r>
    </w:p>
    <w:p>
      <w:r>
        <w:t>The margin story, however, appears more compelling than street models suggest. Gross margin expanded to 52.7% in Q2, driven primarily by the Fuel for Growth program benefits. Critically, this improvement was broad-based: Sally segment gross margin increased 10 basis points to 61.3% while BSG segment gross margin expanded a substantial 110 basis points to 40.9%. The BSG margin expansion is particularly noteworthy given flat top-line performance, suggesting the cost optimization program is delivering structural benefits independent of revenue leverage. Management disclosed that Fuel for Growth generated $46 million of benefits in FY2025, and the accelerating quarterly margin expansion suggests this program is hitting its stride in FY2026.</w:t>
      </w:r>
    </w:p>
    <w:p>
      <w:pPr>
        <w:pStyle w:val="PullQuote"/>
      </w:pPr>
      <w:r>
        <w:t>Counter: the analyst claims Consensus underestimates FY2026 EPS upside from accelerating Fuel for Growth benefits — but The 'acceleration' is backwards-looking revisionism. Operating margins actually declined sequentially from 10.7% in Q1 2025 to 8.1% in Q1 2026, then barely recovered to 8.0% in Q2 2026. Management's language of 'compounding benefits' contradicts the margin trajectory showing deceleration, not acceleration. The edge assumes sandbagging where evidence points to genuine headwinds.</w:t>
      </w:r>
    </w:p>
    <w:p>
      <w:pPr>
        <w:pStyle w:val="ListBullet"/>
      </w:pPr>
      <w:r>
        <w:rPr>
          <w:i/>
        </w:rPr>
        <w:t>→ Research confirms: Sally Beauty's official FY2025 earnings disclosures confirm the Fuel for Growth program generated $46 million in incremental benefits during fiscal 2025, building cumulative run-rate benefits to $74 million. (sallybeautyholdings.com)</w:t>
      </w:r>
    </w:p>
    <w:p>
      <w:pPr>
        <w:pStyle w:val="ListBullet"/>
      </w:pPr>
      <w:r>
        <w:rPr>
          <w:i/>
        </w:rPr>
        <w:t>→ Research [UPDATES]: Claim states GAAP gross margin of 52.7% in Q2; sources confirm 52.7% GAAP but adjusted gross margin was 52.8% (80 bps expansion vs. 70 bps GAAP). Both metrics driven by Fuel for Growth program as stated. (stocktitan.net)</w:t>
      </w:r>
    </w:p>
    <w:p>
      <w:r>
        <w:t>Digging into the sequential trajectory discipline reveals concerning patterns beneath the headline growth. Q2 2026 total sales of $903M declined 4.2% sequentially from Q1's $943M. Comparing to the prior year pattern: Q2 2025 sales of $883M declined 5.8% sequentially from Q1 2025's $938M. This means the current sequential decline (-4.2%) was actually 160 basis points better than the prior year seasonal pattern (-5.8%), suggesting some underlying momentum. However, the Sally segment's comparable sales growth decelerated from Q1's strong performance, with management noting that Q2 results were 'at the high end' rather than above expectations.</w:t>
      </w:r>
    </w:p>
    <w:p>
      <w:r>
        <w:t>The color category remains the primary growth engine, with Sally segment color sales up 11% in Q2 and BSG color up 3%. This performance is driving customer acquisition, with color customer count up 3% in Q1 2026 (the most recent disclosure). However, the care category continues to struggle, down 6% in both segments during Q2. Management is preparing for a care category reset in Q4 with 'refined assortments and enhanced merchandising initiatives,' but this represents an execution risk that consensus may not fully weight.</w:t>
      </w:r>
    </w:p>
    <w:p>
      <w:r>
        <w:t>Management's guidance patterns suggest more EPS upside than consensus models. Over the past two quarters, the company has beaten quarterly EPS guidance by an average of 3 cents per share (Q1: 48 cents actual vs 43-47 cent guide; Q2: 44 cents actual vs 39-42 cent guide). Applying this beat pattern to Q3 guidance of 52-56 cents implies potential actual EPS of ~55-59 cents. More importantly, management raised full-year EPS guidance from $2.00-2.10 to $2.02-2.10 in Q1, then reaffirmed the raised range in Q2 despite continued margin expansion. This conservative posture, combined with the Fuel for Growth program's accelerating benefits, suggests meaningful upside to the $2.06 consensus.</w:t>
      </w:r>
    </w:p>
    <w:p>
      <w:r>
        <w:t>The BSG segment presents both the biggest risk and opportunity. Comparable sales declined 30 basis points in Q2 with transactions and average ticket both flat, reflecting continued caution among professional stylists. However, operating margin expanded 90 basis points to 12.4% despite flat sales, demonstrating significant operational leverage potential. Management noted that stylists 'continued to buy closer to need and seek value,' but also highlighted success with new brands and distribution expansion. The segment's margin expansion on flat revenue suggests that any return to positive comparable sales could drive substantial earnings upside.</w:t>
      </w:r>
    </w:p>
    <w:p>
      <w:r>
        <w:t>Capital allocation behavior reinforces management's confidence in the business model. The company repurchased $25 million of shares in Q2 (following $21 million in Q1) while simultaneously paying down $20 million of debt. This dual approach of deleveraging and returning capital suggests management views the current valuation as attractive while maintaining balance sheet flexibility. Free cash flow of approximately $200 million annually supports this capital return pace, with management committing to deploy 50% of free cash flow to share repurchases.</w:t>
      </w:r>
    </w:p>
    <w:p>
      <w:pPr>
        <w:pStyle w:val="ListBullet"/>
      </w:pPr>
      <w:r>
        <w:rPr>
          <w:i/>
        </w:rPr>
        <w:t>→ Research confirms: Sally Beauty repurchased $25 million of shares in Q2 2026 and paid down $20 million of debt, exactly matching the claim. Q1 repurchases were $21 million as stated. (investing.com)</w:t>
      </w:r>
    </w:p>
    <w:p>
      <w:pPr>
        <w:pStyle w:val="ListBullet"/>
      </w:pPr>
      <w:r>
        <w:rPr>
          <w:i/>
        </w:rPr>
        <w:t>→ Research: Sally Beauty insiders show mixed activity: CEO Denise Paulonis purchased 4,500 shares at $11.74 (Aug 2025); SVP/CLO Scott Sherman sold 15,000 shares at $16.27 (Dec 2025); most other Form 4 activity reflects RSU vesting/compensation grants rather than discretionary buying. Net insider selling exceeded buying over 12 months ($337k sold vs $163k purchased). (stocktitan.net)</w:t>
      </w:r>
    </w:p>
    <w:p>
      <w:pPr>
        <w:pStyle w:val="ListBullet"/>
      </w:pPr>
      <w:r>
        <w:rPr>
          <w:i/>
        </w:rPr>
        <w:t>→ Research: Search confirms Sally Beauty carries substantial debt burden (~$875M-$1.55B long-term debt as of FY2025) with interest coverage ratio of 5.1x and debt-to-equity of 1.10. Detailed debt and interest cost analysis is available in SEC filings but appears underexplored in narrative. (stocktitan.net)</w:t>
      </w:r>
    </w:p>
    <w:p>
      <w:r>
        <w:t>The e-commerce growth trajectory provides additional upside optionality that consensus may undervalue. Global e-commerce sales increased 13% to $108 million in Q2, representing 12% of total sales. Sally segment e-commerce grew 21% while BSG e-commerce increased 7%. The company's marketplace expansion (adding Uber Eats to existing partnerships with DoorDash, Instacart, Amazon, and Walmart) and new mobile app launches are driving higher engagement and conversion rates. Management noted that the order-online-pickup-in-store feature is 'the most profitable way to get the order to the customer,' suggesting margin benefits as this channel scales.</w:t>
      </w:r>
    </w:p>
    <w:p>
      <w:pPr>
        <w:pStyle w:val="ListBullet"/>
      </w:pPr>
      <w:r>
        <w:rPr>
          <w:i/>
        </w:rPr>
        <w:t>→ Research confirms: Sally Beauty Q2 FY2026 earnings confirm global e-commerce sales increased 13% to $108 million, representing 12% of total net sales, exactly matching the verbatim claim. (sec.gov)</w:t>
      </w:r>
    </w:p>
    <w:p>
      <w:r>
        <w:t>However, several factors suggest caution on the revenue outlook. The fragrance category expansion, while promising, remains small scale (expanded from 1,000 to 2,000 Sally stores in Q2). The care category reset in Q4 represents execution risk, and management's language around Q2 results being 'at the high end of expectations' suggests less upside buffer than in prior quarters. Additionally, the BSG segment's flat performance reflects ongoing pressure in the professional channel, where stylists remain cautious about inventory investments amid macro uncertainty.</w:t>
      </w:r>
    </w:p>
    <w:p>
      <w:pPr>
        <w:pStyle w:val="ListBullet"/>
      </w:pPr>
      <w:r>
        <w:rPr>
          <w:i/>
        </w:rPr>
        <w:t>→ Research: Search confirms Sally Beauty operates in a highly competitive beauty retail landscape with direct rivals Ulta Beauty and Sephora, plus mass merchants and DTC brands. Sally differentiates via professional-focused model (haircare, salon supplies) rather than competing head-to-head on prestige cosmetics. (portersfiveforce.com)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$0.53</w:t>
            </w:r>
          </w:p>
        </w:tc>
        <w:tc>
          <w:tcPr>
            <w:tcW w:type="dxa" w:w="3264"/>
            <w:tcBorders>
              <w:top w:val="single" w:sz="4" w:color="BDC3C7"/>
              <w:bottom w:val="single" w:sz="4" w:color="BDC3C7"/>
              <w:left w:val="single" w:sz="4" w:color="BDC3C7"/>
              <w:right w:val="single" w:sz="4" w:color="BDC3C7"/>
            </w:tcBorders>
          </w:tcPr>
          <w:p>
            <w:r>
              <w:t>$939M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$0.61</w:t>
            </w:r>
          </w:p>
        </w:tc>
        <w:tc>
          <w:tcPr>
            <w:tcW w:type="dxa" w:w="3264"/>
            <w:tcBorders>
              <w:top w:val="single" w:sz="4" w:color="BDC3C7"/>
              <w:bottom w:val="single" w:sz="4" w:color="BDC3C7"/>
              <w:left w:val="single" w:sz="4" w:color="BDC3C7"/>
              <w:right w:val="single" w:sz="4" w:color="BDC3C7"/>
            </w:tcBorders>
          </w:tcPr>
          <w:p>
            <w:r>
              <w:t>$955M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$2.06</w:t>
            </w:r>
          </w:p>
        </w:tc>
        <w:tc>
          <w:tcPr>
            <w:tcW w:type="dxa" w:w="3264"/>
            <w:tcBorders>
              <w:top w:val="single" w:sz="4" w:color="BDC3C7"/>
              <w:bottom w:val="single" w:sz="4" w:color="BDC3C7"/>
              <w:left w:val="single" w:sz="4" w:color="BDC3C7"/>
              <w:right w:val="single" w:sz="4" w:color="BDC3C7"/>
            </w:tcBorders>
          </w:tcPr>
          <w:p>
            <w:r>
              <w:t>$3,739M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$2.23</w:t>
            </w:r>
          </w:p>
        </w:tc>
        <w:tc>
          <w:tcPr>
            <w:tcW w:type="dxa" w:w="3264"/>
            <w:tcBorders>
              <w:top w:val="single" w:sz="4" w:color="BDC3C7"/>
              <w:bottom w:val="single" w:sz="4" w:color="BDC3C7"/>
              <w:left w:val="single" w:sz="4" w:color="BDC3C7"/>
              <w:right w:val="single" w:sz="4" w:color="BDC3C7"/>
            </w:tcBorders>
          </w:tcPr>
          <w:p>
            <w:r>
              <w:t>$3,829M</w:t>
            </w:r>
          </w:p>
        </w:tc>
      </w:tr>
    </w:tbl>
    <w:p>
      <w:pPr>
        <w:pStyle w:val="SubHeading"/>
      </w:pPr>
      <w:r>
        <w:t>Management guidance:</w:t>
      </w:r>
    </w:p>
    <w:p>
      <w:pPr>
        <w:pStyle w:val="ListBullet"/>
      </w:pPr>
      <w:r>
        <w:t>Revenue (FY2026): Consolidated net sales in the range of $3.7 to $3.75 billion  — Q2 2026, call, CFO</w:t>
      </w:r>
    </w:p>
    <w:p>
      <w:pPr>
        <w:pStyle w:val="ListBullet"/>
      </w:pPr>
      <w:r>
        <w:t>Same-Store Sales (FY2026): Comparable sales are expected to be flat to up 1%  — Q2 2026, call, CFO</w:t>
      </w:r>
    </w:p>
    <w:p>
      <w:pPr>
        <w:pStyle w:val="ListBullet"/>
      </w:pPr>
      <w:r>
        <w:t>EPS (FY2026): We expect adjusted diluted earnings in the range of 202 to 210 per share  — Q2 2026, call, CFO</w:t>
      </w:r>
    </w:p>
    <w:p>
      <w:pPr>
        <w:pStyle w:val="ListBullet"/>
      </w:pPr>
      <w:r>
        <w:t>Revenue (next 3 years): net sales growth in the range of 1% to 3%  — Q4 2025, call, CEO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$2.06</w:t>
            </w:r>
          </w:p>
        </w:tc>
        <w:tc>
          <w:tcPr>
            <w:tcW w:type="dxa" w:w="1632"/>
            <w:tcBorders>
              <w:top w:val="single" w:sz="4" w:color="BDC3C7"/>
              <w:bottom w:val="single" w:sz="4" w:color="BDC3C7"/>
              <w:left w:val="single" w:sz="4" w:color="BDC3C7"/>
              <w:right w:val="single" w:sz="4" w:color="BDC3C7"/>
            </w:tcBorders>
          </w:tcPr>
          <w:p>
            <w:r>
              <w:t>$2.15</w:t>
            </w:r>
          </w:p>
        </w:tc>
        <w:tc>
          <w:tcPr>
            <w:tcW w:type="dxa" w:w="1632"/>
            <w:tcBorders>
              <w:top w:val="single" w:sz="4" w:color="BDC3C7"/>
              <w:bottom w:val="single" w:sz="4" w:color="BDC3C7"/>
              <w:left w:val="single" w:sz="4" w:color="BDC3C7"/>
              <w:right w:val="single" w:sz="4" w:color="BDC3C7"/>
            </w:tcBorders>
          </w:tcPr>
          <w:p>
            <w:r>
              <w:t>+0.09</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$3.7B</w:t>
            </w:r>
          </w:p>
        </w:tc>
        <w:tc>
          <w:tcPr>
            <w:tcW w:type="dxa" w:w="1632"/>
            <w:tcBorders>
              <w:top w:val="single" w:sz="4" w:color="BDC3C7"/>
              <w:bottom w:val="single" w:sz="4" w:color="BDC3C7"/>
              <w:left w:val="single" w:sz="4" w:color="BDC3C7"/>
              <w:right w:val="single" w:sz="4" w:color="BDC3C7"/>
            </w:tcBorders>
          </w:tcPr>
          <w:p>
            <w:r>
              <w:t>$3.7B</w:t>
            </w:r>
          </w:p>
        </w:tc>
        <w:tc>
          <w:tcPr>
            <w:tcW w:type="dxa" w:w="1632"/>
            <w:tcBorders>
              <w:top w:val="single" w:sz="4" w:color="BDC3C7"/>
              <w:bottom w:val="single" w:sz="4" w:color="BDC3C7"/>
              <w:left w:val="single" w:sz="4" w:color="BDC3C7"/>
              <w:right w:val="single" w:sz="4" w:color="BDC3C7"/>
            </w:tcBorders>
          </w:tcPr>
          <w:p>
            <w:r>
              <w:t>-0.06</w:t>
            </w:r>
          </w:p>
        </w:tc>
        <w:tc>
          <w:tcPr>
            <w:tcW w:type="dxa" w:w="1632"/>
            <w:tcBorders>
              <w:top w:val="single" w:sz="4" w:color="BDC3C7"/>
              <w:bottom w:val="single" w:sz="4" w:color="BDC3C7"/>
              <w:left w:val="single" w:sz="4" w:color="BDC3C7"/>
              <w:right w:val="single" w:sz="4" w:color="BDC3C7"/>
            </w:tcBorders>
          </w:tcPr>
          <w:p>
            <w:r>
              <w:t>interpretation</w:t>
            </w:r>
          </w:p>
        </w:tc>
      </w:tr>
    </w:tbl>
    <w:p>
      <w:pPr>
        <w:pStyle w:val="SubHeading"/>
      </w:pPr>
      <w:r>
        <w:t>Claim 1 — consensus_fy_eps</w:t>
      </w:r>
    </w:p>
    <w:p>
      <w:r>
        <w:t>Consensus underestimates accelerating Fuel for Growth margin benefits and management's conservative guidance pattern that has produced consistent quarterly beats</w:t>
      </w:r>
    </w:p>
    <w:p>
      <w:r>
        <w:t>Street anchor: $2.06 (yfinance consensus) → Our view: $2.15</w:t>
      </w:r>
    </w:p>
    <w:p>
      <w:pPr>
        <w:pStyle w:val="PullQuote"/>
      </w:pPr>
      <w:r>
        <w:t>“We generated an incremental $46 million of benefits through our Fuel for Growth program”  (transcript)</w:t>
      </w:r>
    </w:p>
    <w:p>
      <w:pPr>
        <w:pStyle w:val="PullQuote"/>
      </w:pPr>
      <w:r>
        <w:t>“adjusted gross margin expanding 80 basis points to 52.8%”  (transcript)</w:t>
      </w:r>
    </w:p>
    <w:p>
      <w:r>
        <w:t>Why not consensus: Analysts model Fuel for Growth benefits linearly rather than recognizing the accelerating quarterly margin expansion pattern, and don't fully capture management's conservative quarterly guidance approach that has beaten by average 3 cents per quarter</w:t>
      </w:r>
    </w:p>
    <w:p>
      <w:pPr>
        <w:pStyle w:val="KillCriteria"/>
      </w:pPr>
      <w:r>
        <w:t>Falsifier: If Q3 gross margin expansion decelerates below 50bps or management guides Q4 EPS above current full-year range midpoint</w:t>
      </w:r>
    </w:p>
    <w:p>
      <w:pPr>
        <w:pStyle w:val="ListBullet2"/>
      </w:pPr>
      <w:r>
        <w:rPr>
          <w:i/>
        </w:rPr>
        <w:t>→ Research [CONTRADICTS]: Q1 actual was $0.48 vs. $0.43-0.47 guidance (beat of ~$0.01); Q2 actual was $0.44 vs. $0.39-0.42 guidance (beat of ~$0.02). Average beat is ~1.5 cents, not 3 cents. Q2 actual of $0.44 also contradicts the claim of $0.44 actual. (sec.gov)</w:t>
      </w:r>
    </w:p>
    <w:p>
      <w:pPr>
        <w:pStyle w:val="SubHeading"/>
      </w:pPr>
      <w:r>
        <w:t>Claim 2 — consensus_fy_revenue</w:t>
      </w:r>
    </w:p>
    <w:p>
      <w:r>
        <w:t>Management's Q2 language shifted from 'above expectations' in Q1 to 'at the high end of expectations,' suggesting less upside buffer and potential sequential momentum moderation</w:t>
      </w:r>
    </w:p>
    <w:p>
      <w:r>
        <w:t>Street anchor: $3.7B (yfinance consensus) → Our view: $3.7B</w:t>
      </w:r>
    </w:p>
    <w:p>
      <w:pPr>
        <w:pStyle w:val="PullQuote"/>
      </w:pPr>
      <w:r>
        <w:t>“comparable sales growth of 1.3% were at the high end of our expectations”  (transcript)</w:t>
      </w:r>
    </w:p>
    <w:p>
      <w:pPr>
        <w:pStyle w:val="PullQuote"/>
      </w:pPr>
      <w:r>
        <w:t>“adjusted diluted earnings per share above our guidance range”  (transcript)</w:t>
      </w:r>
    </w:p>
    <w:p>
      <w:r>
        <w:t>Why not consensus: Street focuses on absolute growth rates without parsing management's confidence language shifts between quarters, missing the subtle moderation in beat magnitude</w:t>
      </w:r>
    </w:p>
    <w:p>
      <w:pPr>
        <w:pStyle w:val="KillCriteria"/>
      </w:pPr>
      <w:r>
        <w:t>Falsifier: If Q3 comparable sales exceed 1.5% or management returns to 'above expectations' language</w:t>
      </w:r>
    </w:p>
    <w:p>
      <w:r>
        <w:t>Management tone shift in Q1 2026→Q2 2026: overall business momentum: confidence_gain — Management shifted from defensive positioning to highlighting strategic momentum</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+1.20%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sally_segment_growth</w:t>
            </w:r>
          </w:p>
        </w:tc>
        <w:tc>
          <w:tcPr>
            <w:tcW w:type="dxa" w:w="2448"/>
            <w:tcBorders>
              <w:top w:val="single" w:sz="4" w:color="BDC3C7"/>
              <w:bottom w:val="single" w:sz="4" w:color="BDC3C7"/>
              <w:left w:val="single" w:sz="4" w:color="BDC3C7"/>
              <w:right w:val="single" w:sz="4" w:color="BDC3C7"/>
            </w:tcBorders>
          </w:tcPr>
          <w:p>
            <w:r>
              <w:t>+1.50%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In the Q2 2026 call, management reported Sally segment comparable sales growth of 2.5% driven by strong color category performance (up 11%) and digital expansion. However, CEO language shifted from Q1's 'above expectatio</w:t>
            </w:r>
          </w:p>
        </w:tc>
      </w:tr>
      <w:tr>
        <w:tc>
          <w:tcPr>
            <w:tcW w:type="dxa" w:w="2448"/>
            <w:tcBorders>
              <w:top w:val="single" w:sz="4" w:color="BDC3C7"/>
              <w:bottom w:val="single" w:sz="4" w:color="BDC3C7"/>
              <w:left w:val="single" w:sz="4" w:color="BDC3C7"/>
              <w:right w:val="single" w:sz="4" w:color="BDC3C7"/>
            </w:tcBorders>
          </w:tcPr>
          <w:p>
            <w:r>
              <w:t xml:space="preserve">    bsg_segment_growth</w:t>
            </w:r>
          </w:p>
        </w:tc>
        <w:tc>
          <w:tcPr>
            <w:tcW w:type="dxa" w:w="2448"/>
            <w:tcBorders>
              <w:top w:val="single" w:sz="4" w:color="BDC3C7"/>
              <w:bottom w:val="single" w:sz="4" w:color="BDC3C7"/>
              <w:left w:val="single" w:sz="4" w:color="BDC3C7"/>
              <w:right w:val="single" w:sz="4" w:color="BDC3C7"/>
            </w:tcBorders>
          </w:tcPr>
          <w:p>
            <w:r>
              <w:t>-0.30%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BSG segment showed flat to slightly negative comparable sales in Q2 2026 (down 30 basis points) as professional stylists 'continued to buy closer to need and seek value' per management commentary. While color category gr</w:t>
            </w:r>
          </w:p>
        </w:tc>
      </w:tr>
    </w:tbl>
    <w:p>
      <w:pPr>
        <w:pStyle w:val="SubHeading"/>
      </w:pPr>
      <w:r>
        <w:t>Bear revisions:</w:t>
      </w:r>
    </w:p>
    <w:p>
      <w:pPr>
        <w:pStyle w:val="ListBullet"/>
      </w:pPr>
      <w:r>
        <w:t>revenue_growth.sally_segment_growth: 2.5 → 1.0 — If care category reset in Q4 fails to gain traction and color category growth moderates as comparisons become more difficult</w:t>
      </w:r>
    </w:p>
    <w:p>
      <w:pPr>
        <w:pStyle w:val="SubHeading"/>
      </w:pPr>
      <w:r>
        <w:t>Comp decomposition check:</w:t>
      </w:r>
    </w:p>
    <w:p>
      <w:pPr>
        <w:pStyle w:val="ListBullet"/>
      </w:pPr>
      <w:r>
        <w:t>Schema mismatch: peer comps fit 'consumer_discretionary' but the brief picked 'general'. The mechanical model will use generic defaults; final EPS may be unreliable.</w:t>
      </w:r>
    </w:p>
    <w:p>
      <w:pPr>
        <w:pStyle w:val="ListBullet"/>
      </w:pPr>
      <w:r>
        <w:t>Thin brief drivers (1 drivers / 2 components) on schema 'general'. The mechanical model and edge variant back-solve may be unreliable.</w:t>
      </w:r>
    </w:p>
    <w:p>
      <w:pPr>
        <w:pStyle w:val="PullQuote"/>
      </w:pPr>
      <w:r>
        <w:t>Counter: the analyst claims Sally segment can sustain 2.5% growth amid macro headwinds — but Consumer fundamentals are deteriorating faster than company-specific initiatives can offset. Personal savings rate collapsed 52.7% YoY while sentiment dropped 4.6% - this creates a structural spending constraint. Sally's Q3 guidance of 'approximately flat' comps vs Q2's +1.3% suggests management sees the deceleration continuing despite their initiatives.</w:t>
      </w:r>
    </w:p>
    <w:p>
      <w:pPr>
        <w:pStyle w:val="SectionHeading"/>
      </w:pPr>
      <w:r>
        <w:t>3. Consensus Gap &amp; Valuation</w:t>
      </w:r>
    </w:p>
    <w:p>
      <w:r>
        <w:t>Our EPS: $2.15  =  baseline $2.06  +  Σ claim impacts $+0.09 (4.4% above consensus $2.06)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$2.06</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$2.06 → $2.15 (Δ +9.0%)</w:t>
            </w:r>
          </w:p>
        </w:tc>
        <w:tc>
          <w:tcPr>
            <w:tcW w:type="dxa" w:w="2448"/>
            <w:tcBorders>
              <w:top w:val="single" w:sz="4" w:color="BDC3C7"/>
              <w:bottom w:val="single" w:sz="4" w:color="BDC3C7"/>
              <w:left w:val="single" w:sz="4" w:color="BDC3C7"/>
              <w:right w:val="single" w:sz="4" w:color="BDC3C7"/>
            </w:tcBorders>
          </w:tcPr>
          <w:p>
            <w:r>
              <w:t>Direct EPS delta: $+0.09/share</w:t>
            </w:r>
          </w:p>
        </w:tc>
        <w:tc>
          <w:tcPr>
            <w:tcW w:type="dxa" w:w="2448"/>
            <w:tcBorders>
              <w:top w:val="single" w:sz="4" w:color="BDC3C7"/>
              <w:bottom w:val="single" w:sz="4" w:color="BDC3C7"/>
              <w:left w:val="single" w:sz="4" w:color="BDC3C7"/>
              <w:right w:val="single" w:sz="4" w:color="BDC3C7"/>
            </w:tcBorders>
          </w:tcPr>
          <w:p>
            <w:r>
              <w:t>+0.09</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$3.7B → $3.7B (Δ $-19M)</w:t>
            </w:r>
          </w:p>
        </w:tc>
        <w:tc>
          <w:tcPr>
            <w:tcW w:type="dxa" w:w="2448"/>
            <w:tcBorders>
              <w:top w:val="single" w:sz="4" w:color="BDC3C7"/>
              <w:bottom w:val="single" w:sz="4" w:color="BDC3C7"/>
              <w:left w:val="single" w:sz="4" w:color="BDC3C7"/>
              <w:right w:val="single" w:sz="4" w:color="BDC3C7"/>
            </w:tcBorders>
          </w:tcPr>
          <w:p>
            <w:r>
              <w:t>(supporting view, not summed: same disagreement as 'consensus_fy_eps' through different metric lens) Revenue Δ $-19M × 1</w:t>
            </w:r>
          </w:p>
        </w:tc>
        <w:tc>
          <w:tcPr>
            <w:tcW w:type="dxa" w:w="2448"/>
            <w:tcBorders>
              <w:top w:val="single" w:sz="4" w:color="BDC3C7"/>
              <w:bottom w:val="single" w:sz="4" w:color="BDC3C7"/>
              <w:left w:val="single" w:sz="4" w:color="BDC3C7"/>
              <w:right w:val="single" w:sz="4" w:color="BDC3C7"/>
            </w:tcBorders>
          </w:tcPr>
          <w:p>
            <w: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+0.09</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$2.15</w:t>
            </w:r>
          </w:p>
        </w:tc>
      </w:tr>
    </w:tbl>
    <w:p>
      <w:pPr>
        <w:pStyle w:val="PullQuote"/>
      </w:pPr>
      <w:r>
        <w:t xml:space="preserve">  ⚠ Mechanically-overlapping claim deduplicated: 'consensus_fy_revenue' overlaps with selected 'consensus_fy_eps'; only the more comprehensive claim is summed into our_eps.</w:t>
      </w:r>
    </w:p>
    <w:p>
      <w:r>
        <w:t>Our estimate is $0.09 (4.4%) above consensus $2.06. Primary driver: revenue_growth.sally_segment_growth (ours +1.5 vs street +6.1, contributing $-0.457 to EPS variant, evidence: moderate). Variant appears NOT fully priced in based on available market data. Next catalyst: Next quarterly earnings report (2026-08-04 (64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revenue_growth.sally_segment_growth</w:t>
            </w:r>
          </w:p>
        </w:tc>
        <w:tc>
          <w:tcPr>
            <w:tcW w:type="dxa" w:w="1958"/>
            <w:tcBorders>
              <w:top w:val="single" w:sz="4" w:color="BDC3C7"/>
              <w:bottom w:val="single" w:sz="4" w:color="BDC3C7"/>
              <w:left w:val="single" w:sz="4" w:color="BDC3C7"/>
              <w:right w:val="single" w:sz="4" w:color="BDC3C7"/>
            </w:tcBorders>
          </w:tcPr>
          <w:p>
            <w:r>
              <w:t>+1.50</w:t>
            </w:r>
          </w:p>
        </w:tc>
        <w:tc>
          <w:tcPr>
            <w:tcW w:type="dxa" w:w="1958"/>
            <w:tcBorders>
              <w:top w:val="single" w:sz="4" w:color="BDC3C7"/>
              <w:bottom w:val="single" w:sz="4" w:color="BDC3C7"/>
              <w:left w:val="single" w:sz="4" w:color="BDC3C7"/>
              <w:right w:val="single" w:sz="4" w:color="BDC3C7"/>
            </w:tcBorders>
          </w:tcPr>
          <w:p>
            <w:r>
              <w:t>+6.07</w:t>
            </w:r>
          </w:p>
        </w:tc>
        <w:tc>
          <w:tcPr>
            <w:tcW w:type="dxa" w:w="1958"/>
            <w:tcBorders>
              <w:top w:val="single" w:sz="4" w:color="BDC3C7"/>
              <w:bottom w:val="single" w:sz="4" w:color="BDC3C7"/>
              <w:left w:val="single" w:sz="4" w:color="BDC3C7"/>
              <w:right w:val="single" w:sz="4" w:color="BDC3C7"/>
            </w:tcBorders>
          </w:tcPr>
          <w:p>
            <w:r>
              <w:t>-0.457</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revenue_growth.bsg_segment_growth</w:t>
            </w:r>
          </w:p>
        </w:tc>
        <w:tc>
          <w:tcPr>
            <w:tcW w:type="dxa" w:w="1958"/>
            <w:tcBorders>
              <w:top w:val="single" w:sz="4" w:color="BDC3C7"/>
              <w:bottom w:val="single" w:sz="4" w:color="BDC3C7"/>
              <w:left w:val="single" w:sz="4" w:color="BDC3C7"/>
              <w:right w:val="single" w:sz="4" w:color="BDC3C7"/>
            </w:tcBorders>
          </w:tcPr>
          <w:p>
            <w:r>
              <w:t>-0.30</w:t>
            </w:r>
          </w:p>
        </w:tc>
        <w:tc>
          <w:tcPr>
            <w:tcW w:type="dxa" w:w="1958"/>
            <w:tcBorders>
              <w:top w:val="single" w:sz="4" w:color="BDC3C7"/>
              <w:bottom w:val="single" w:sz="4" w:color="BDC3C7"/>
              <w:left w:val="single" w:sz="4" w:color="BDC3C7"/>
              <w:right w:val="single" w:sz="4" w:color="BDC3C7"/>
            </w:tcBorders>
          </w:tcPr>
          <w:p>
            <w:r>
              <w:t>+4.22</w:t>
            </w:r>
          </w:p>
        </w:tc>
        <w:tc>
          <w:tcPr>
            <w:tcW w:type="dxa" w:w="1958"/>
            <w:tcBorders>
              <w:top w:val="single" w:sz="4" w:color="BDC3C7"/>
              <w:bottom w:val="single" w:sz="4" w:color="BDC3C7"/>
              <w:left w:val="single" w:sz="4" w:color="BDC3C7"/>
              <w:right w:val="single" w:sz="4" w:color="BDC3C7"/>
            </w:tcBorders>
          </w:tcPr>
          <w:p>
            <w:r>
              <w:t>-0.452</w:t>
            </w:r>
          </w:p>
        </w:tc>
        <w:tc>
          <w:tcPr>
            <w:tcW w:type="dxa" w:w="1958"/>
            <w:tcBorders>
              <w:top w:val="single" w:sz="4" w:color="BDC3C7"/>
              <w:bottom w:val="single" w:sz="4" w:color="BDC3C7"/>
              <w:left w:val="single" w:sz="4" w:color="BDC3C7"/>
              <w:right w:val="single" w:sz="4" w:color="BDC3C7"/>
            </w:tcBorders>
          </w:tcPr>
          <w:p>
            <w:r>
              <w:t>0.50</w:t>
            </w:r>
          </w:p>
        </w:tc>
      </w:tr>
    </w:tbl>
    <w:p>
      <w:r>
        <w:t>Priced in: not fully — Variant (+4.4%) exceeds implied move (5.0%). Short interest 28.0% supports</w:t>
      </w:r>
    </w:p>
    <w:p>
      <w:r>
        <w:t>Edge verdict: PROBABLE_EDGE (score 0.068).</w:t>
      </w:r>
    </w:p>
    <w:p>
      <w:pPr>
        <w:pStyle w:val="PullQuote"/>
      </w:pPr>
      <w:r>
        <w:t>Counter: the analyst claims Conservative Q3/Q4 guidance patterns create upside opportunity vs consensus $2.06 EPS — but Pattern recognition bias - the analyst assumes historical conservatism without verifying current guidance methodology. Management already raised FY2026 EPS guidance from $2.00-$2.10 to $2.02-$2.10 in Q1, then reaffirmed in Q2. The midpoint of $2.06 exactly matches consensus, suggesting no further buffer exists.</w:t>
      </w:r>
    </w:p>
    <w:p>
      <w:pPr>
        <w:pStyle w:val="SectionHeading"/>
      </w:pPr>
      <w:r>
        <w:t>4. Catalysts</w:t>
      </w:r>
    </w:p>
    <w:p>
      <w:pPr>
        <w:pStyle w:val="ListBullet"/>
      </w:pPr>
      <w:r>
        <w:t>Next quarterly earnings report (2026-08-04 (64 days)) — resolves revenue + margins + guidance; confirms or challenges</w:t>
      </w:r>
    </w:p>
    <w:p>
      <w:pPr>
        <w:pStyle w:val="ListBullet"/>
      </w:pPr>
      <w:r>
        <w:t>Resolution: Revenue growth can accelerate from current levels (Resolves at earnings (2026-08-04))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dollar impact of Fuel for Growth program in FY2026 vs FY2025's $46M (Unknown timing) — resolves multiple; resolves uncertainty</w:t>
      </w:r>
    </w:p>
    <w:p>
      <w:pPr>
        <w:pStyle w:val="ListBullet"/>
      </w:pPr>
      <w:r>
        <w:t>Quantified impact of care category reset on Q4 performance (Unknown timing) — resolves multiple; resolves uncertainty</w:t>
      </w:r>
    </w:p>
    <w:p>
      <w:pPr>
        <w:pStyle w:val="SectionHeading"/>
      </w:pPr>
      <w:r>
        <w:t>5. Risks, Blind Spots &amp; Kill Criteria</w:t>
      </w:r>
    </w:p>
    <w:p>
      <w:pPr>
        <w:pStyle w:val="SubHeading"/>
      </w:pPr>
      <w:r>
        <w:t>Top risks:</w:t>
      </w:r>
    </w:p>
    <w:p>
      <w:pPr>
        <w:pStyle w:val="ListBullet"/>
      </w:pPr>
      <w:r>
        <w:t>Edge hypothesis assumes 'conservative Q3/Q4 guidance patterns' creating upside opportunity — counter: Guidance tracker shows Q3 2026 guidance calls for 'approximately flat' comparable sales vs Q2's +1.3% comp growth, indicating genuine deceleration rather than conservative sandbagging. Management tightened net sales range but kept all other metrics unchanged, suggesting limited upside buffer. [serious]</w:t>
      </w:r>
    </w:p>
    <w:p>
      <w:pPr>
        <w:pStyle w:val="ListBullet"/>
      </w:pPr>
      <w:r>
        <w:t>Analyst expects accelerating Fuel for Growth benefits to drive FY2026 EPS upside — counter: Q2 2026 shows operating margin at 8.0% vs 7.9% in Q2 2025, only 10bps improvement despite 'compounding benefits' claims. Historical data shows Q1 2026 operating margin actually declined to 8.1% from Q1 2025's 10.7%, contradicting acceleration narrative. [serious]</w:t>
      </w:r>
    </w:p>
    <w:p>
      <w:pPr>
        <w:pStyle w:val="ListBullet"/>
      </w:pPr>
      <w:r>
        <w:t>Revenue growth can accelerate from current levels — counter: Management language moderated from Q1 'above expectations' to Q2 'at the high end of expectations' while BSG segment remains flat with professional stylists buying 'closer to need' [moderate]</w:t>
      </w:r>
    </w:p>
    <w:p>
      <w:pPr>
        <w:pStyle w:val="SubHeading"/>
      </w:pPr>
      <w:r>
        <w:t>Blind spots (auditor-independent):</w:t>
      </w:r>
    </w:p>
    <w:p>
      <w:pPr>
        <w:pStyle w:val="ListBullet"/>
      </w:pPr>
      <w:r>
        <w:t>Working capital dynamics - Q2 cash flow from operations of $73M vs free cash flow of only $44M suggests significant capex or working capital absorption that could pressure returns</w:t>
      </w:r>
    </w:p>
    <w:p>
      <w:pPr>
        <w:pStyle w:val="ListBullet"/>
      </w:pPr>
      <w:r>
        <w:t>Consumer sentiment at 49.8 (down 4.6% YoY) and personal savings rate crashed 52.7% YoY to 2.6% - this creates a structural headwind for discretionary beauty spending that transcends company-specific initiatives</w:t>
      </w:r>
    </w:p>
    <w:p>
      <w:pPr>
        <w:pStyle w:val="ListBullet"/>
      </w:pPr>
      <w:r>
        <w:t>Interest expense impact from debt reduction - $20M term loan repayment in Q2 should reduce interest burden, but analyst hasn't modeled this financial engineering benefit vs operational improvements</w:t>
      </w:r>
    </w:p>
    <w:p>
      <w:pPr>
        <w:pStyle w:val="KillCriteria"/>
      </w:pPr>
      <w:r>
        <w:t>What would change our mind: Print on revenue_growth.sally_segment_growth comes in above our +1.5 figure (toward street +6.1) in the next 1-2 prints.</w:t>
      </w:r>
    </w:p>
    <w:p>
      <w:pPr>
        <w:pStyle w:val="SectionHeading"/>
      </w:pPr>
      <w:r>
        <w:t>Appendix</w:t>
      </w:r>
    </w:p>
    <w:p>
      <w:pPr>
        <w:pStyle w:val="SubHeading"/>
      </w:pPr>
      <w:r>
        <w:t>Business context:</w:t>
      </w:r>
    </w:p>
    <w:p>
      <w:r>
        <w:t>Sally Beauty Holdings operates two complementary segments: Sally Beauty stores serving direct-to-consumer beauty enthusiasts and BSG (Beauty Systems Group) serving professional stylists and salons. The company generates revenue through retail sales of hair color, care products, styling tools, and beauty accessories across ~5,000 locations globally plus growing e-commerce channels.</w:t>
      </w:r>
    </w:p>
    <w:p>
      <w:pPr>
        <w:pStyle w:val="SubHeading"/>
      </w:pPr>
      <w:r>
        <w:t>Evidence gaps (research TODO):</w:t>
      </w:r>
    </w:p>
    <w:p>
      <w:pPr>
        <w:pStyle w:val="ListBullet"/>
      </w:pPr>
      <w:r>
        <w:t>Specific dollar impact of Fuel for Growth program in FY2026 vs FY2025's $46M</w:t>
      </w:r>
    </w:p>
    <w:p>
      <w:pPr>
        <w:pStyle w:val="ListBullet"/>
      </w:pPr>
      <w:r>
        <w:t>Quantified impact of care category reset on Q4 performance</w:t>
      </w:r>
    </w:p>
    <w:p>
      <w:pPr>
        <w:pStyle w:val="ListBullet"/>
      </w:pPr>
      <w:r>
        <w:t>Professional stylist inventory levels and restocking timeline for BSG recovery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