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SBUX — SBUX</w:t>
      </w:r>
    </w:p>
    <w:p>
      <w:pPr>
        <w:pStyle w:val="SmallMeta"/>
      </w:pPr>
      <w:r>
        <w:t>As of 2026-06-22  |  Schema: restaurant  |  Data: polygon+alpha_vantage (FY2025)</w:t>
      </w:r>
    </w:p>
    <w:p>
      <w:pPr>
        <w:pStyle w:val="SubHeading"/>
      </w:pPr>
      <w:r>
        <w:rPr>
          <w:color w:val="8C1D40"/>
        </w:rPr>
        <w:t>Direction: LONG | Current: $100.15</w:t>
      </w:r>
    </w:p>
    <w:p>
      <w:pPr>
        <w:pStyle w:val="SubHeading"/>
      </w:pPr>
      <w:r>
        <w:t>Summary</w:t>
      </w:r>
    </w:p>
    <w:p>
      <w:pPr>
        <w:pStyle w:val="ListBullet"/>
      </w:pPr>
      <w:r>
        <w:t>Thesis: Consensus FY2026 revenue of $37.6B is materially too high because it fails to fully model the China deconsolidation revenue loss beginning Q3 FY2026 — a structural step-down that removes ~$2B+ of quarterly consolidated revenue and is not offset by the royalty stream on a 1:1 basis. Simultaneously, the $2.38 FY2026 EPS consensus is achievable or beatable on a non-GAAP basis because the restructuring-driven cost takeout ($2.0B charge in May 2026 on top of $1.0B in September 2025) is not yet fully reflected in Street opex models, creating a margin beat setup even as reported revenue disappoints.</w:t>
      </w:r>
    </w:p>
    <w:p>
      <w:pPr>
        <w:pStyle w:val="ListBullet"/>
      </w:pPr>
      <w:r>
        <w:t>Next catalyst: Next quarterly earnings report (2026-07-28 (36 days))</w:t>
      </w:r>
    </w:p>
    <w:p>
      <w:pPr>
        <w:pStyle w:val="ListBullet"/>
      </w:pPr>
      <w:r>
        <w:t>Top risk: China deconsolidation is margin-accretive and revenue-neutral on a royalty basis</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$0.65</w:t>
            </w:r>
          </w:p>
        </w:tc>
        <w:tc>
          <w:tcPr>
            <w:tcW w:type="dxa" w:w="1399"/>
            <w:tcBorders>
              <w:top w:val="single" w:sz="4" w:color="BDC3C7"/>
              <w:bottom w:val="single" w:sz="4" w:color="BDC3C7"/>
              <w:left w:val="single" w:sz="4" w:color="BDC3C7"/>
              <w:right w:val="single" w:sz="4" w:color="BDC3C7"/>
            </w:tcBorders>
          </w:tcPr>
          <w:p>
            <w:r>
              <w:t>$0.54 – $0.72</w:t>
            </w:r>
          </w:p>
        </w:tc>
        <w:tc>
          <w:tcPr>
            <w:tcW w:type="dxa" w:w="1399"/>
            <w:tcBorders>
              <w:top w:val="single" w:sz="4" w:color="BDC3C7"/>
              <w:bottom w:val="single" w:sz="4" w:color="BDC3C7"/>
              <w:left w:val="single" w:sz="4" w:color="BDC3C7"/>
              <w:right w:val="single" w:sz="4" w:color="BDC3C7"/>
            </w:tcBorders>
          </w:tcPr>
          <w:p>
            <w:r>
              <w:t>26</w:t>
            </w:r>
          </w:p>
        </w:tc>
        <w:tc>
          <w:tcPr>
            <w:tcW w:type="dxa" w:w="1399"/>
            <w:tcBorders>
              <w:top w:val="single" w:sz="4" w:color="BDC3C7"/>
              <w:bottom w:val="single" w:sz="4" w:color="BDC3C7"/>
              <w:left w:val="single" w:sz="4" w:color="BDC3C7"/>
              <w:right w:val="single" w:sz="4" w:color="BDC3C7"/>
            </w:tcBorders>
          </w:tcPr>
          <w:p>
            <w:r>
              <w:t>+29.2%</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↑9 / ↓4</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$0.68</w:t>
            </w:r>
          </w:p>
        </w:tc>
        <w:tc>
          <w:tcPr>
            <w:tcW w:type="dxa" w:w="1399"/>
            <w:tcBorders>
              <w:top w:val="single" w:sz="4" w:color="BDC3C7"/>
              <w:bottom w:val="single" w:sz="4" w:color="BDC3C7"/>
              <w:left w:val="single" w:sz="4" w:color="BDC3C7"/>
              <w:right w:val="single" w:sz="4" w:color="BDC3C7"/>
            </w:tcBorders>
          </w:tcPr>
          <w:p>
            <w:r>
              <w:t>$0.61 – $0.74</w:t>
            </w:r>
          </w:p>
        </w:tc>
        <w:tc>
          <w:tcPr>
            <w:tcW w:type="dxa" w:w="1399"/>
            <w:tcBorders>
              <w:top w:val="single" w:sz="4" w:color="BDC3C7"/>
              <w:bottom w:val="single" w:sz="4" w:color="BDC3C7"/>
              <w:left w:val="single" w:sz="4" w:color="BDC3C7"/>
              <w:right w:val="single" w:sz="4" w:color="BDC3C7"/>
            </w:tcBorders>
          </w:tcPr>
          <w:p>
            <w:r>
              <w:t>26</w:t>
            </w:r>
          </w:p>
        </w:tc>
        <w:tc>
          <w:tcPr>
            <w:tcW w:type="dxa" w:w="1399"/>
            <w:tcBorders>
              <w:top w:val="single" w:sz="4" w:color="BDC3C7"/>
              <w:bottom w:val="single" w:sz="4" w:color="BDC3C7"/>
              <w:left w:val="single" w:sz="4" w:color="BDC3C7"/>
              <w:right w:val="single" w:sz="4" w:color="BDC3C7"/>
            </w:tcBorders>
          </w:tcPr>
          <w:p>
            <w:r>
              <w:t>+30.2%</w:t>
            </w:r>
          </w:p>
        </w:tc>
        <w:tc>
          <w:tcPr>
            <w:tcW w:type="dxa" w:w="1399"/>
            <w:tcBorders>
              <w:top w:val="single" w:sz="4" w:color="BDC3C7"/>
              <w:bottom w:val="single" w:sz="4" w:color="BDC3C7"/>
              <w:left w:val="single" w:sz="4" w:color="BDC3C7"/>
              <w:right w:val="single" w:sz="4" w:color="BDC3C7"/>
            </w:tcBorders>
          </w:tcPr>
          <w:p>
            <w:r>
              <w:t>≈ +0.003</w:t>
            </w:r>
          </w:p>
        </w:tc>
        <w:tc>
          <w:tcPr>
            <w:tcW w:type="dxa" w:w="1399"/>
            <w:tcBorders>
              <w:top w:val="single" w:sz="4" w:color="BDC3C7"/>
              <w:bottom w:val="single" w:sz="4" w:color="BDC3C7"/>
              <w:left w:val="single" w:sz="4" w:color="BDC3C7"/>
              <w:right w:val="single" w:sz="4" w:color="BDC3C7"/>
            </w:tcBorders>
          </w:tcPr>
          <w:p>
            <w:r>
              <w:t>↑2 / ↓1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$2.38</w:t>
            </w:r>
          </w:p>
        </w:tc>
        <w:tc>
          <w:tcPr>
            <w:tcW w:type="dxa" w:w="1399"/>
            <w:tcBorders>
              <w:top w:val="single" w:sz="4" w:color="BDC3C7"/>
              <w:bottom w:val="single" w:sz="4" w:color="BDC3C7"/>
              <w:left w:val="single" w:sz="4" w:color="BDC3C7"/>
              <w:right w:val="single" w:sz="4" w:color="BDC3C7"/>
            </w:tcBorders>
          </w:tcPr>
          <w:p>
            <w:r>
              <w:t>$2.26 – $2.46</w:t>
            </w:r>
          </w:p>
        </w:tc>
        <w:tc>
          <w:tcPr>
            <w:tcW w:type="dxa" w:w="1399"/>
            <w:tcBorders>
              <w:top w:val="single" w:sz="4" w:color="BDC3C7"/>
              <w:bottom w:val="single" w:sz="4" w:color="BDC3C7"/>
              <w:left w:val="single" w:sz="4" w:color="BDC3C7"/>
              <w:right w:val="single" w:sz="4" w:color="BDC3C7"/>
            </w:tcBorders>
          </w:tcPr>
          <w:p>
            <w:r>
              <w:t>30</w:t>
            </w:r>
          </w:p>
        </w:tc>
        <w:tc>
          <w:tcPr>
            <w:tcW w:type="dxa" w:w="1399"/>
            <w:tcBorders>
              <w:top w:val="single" w:sz="4" w:color="BDC3C7"/>
              <w:bottom w:val="single" w:sz="4" w:color="BDC3C7"/>
              <w:left w:val="single" w:sz="4" w:color="BDC3C7"/>
              <w:right w:val="single" w:sz="4" w:color="BDC3C7"/>
            </w:tcBorders>
          </w:tcPr>
          <w:p>
            <w:r>
              <w:t>+11.8%</w:t>
            </w:r>
          </w:p>
        </w:tc>
        <w:tc>
          <w:tcPr>
            <w:tcW w:type="dxa" w:w="1399"/>
            <w:tcBorders>
              <w:top w:val="single" w:sz="4" w:color="BDC3C7"/>
              <w:bottom w:val="single" w:sz="4" w:color="BDC3C7"/>
              <w:left w:val="single" w:sz="4" w:color="BDC3C7"/>
              <w:right w:val="single" w:sz="4" w:color="BDC3C7"/>
            </w:tcBorders>
          </w:tcPr>
          <w:p>
            <w:r>
              <w:t>↑ +0.005</w:t>
            </w:r>
          </w:p>
        </w:tc>
        <w:tc>
          <w:tcPr>
            <w:tcW w:type="dxa" w:w="1399"/>
            <w:tcBorders>
              <w:top w:val="single" w:sz="4" w:color="BDC3C7"/>
              <w:bottom w:val="single" w:sz="4" w:color="BDC3C7"/>
              <w:left w:val="single" w:sz="4" w:color="BDC3C7"/>
              <w:right w:val="single" w:sz="4" w:color="BDC3C7"/>
            </w:tcBorders>
          </w:tcPr>
          <w:p>
            <w:r>
              <w:t>↑15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$3.01</w:t>
            </w:r>
          </w:p>
        </w:tc>
        <w:tc>
          <w:tcPr>
            <w:tcW w:type="dxa" w:w="1399"/>
            <w:tcBorders>
              <w:top w:val="single" w:sz="4" w:color="BDC3C7"/>
              <w:bottom w:val="single" w:sz="4" w:color="BDC3C7"/>
              <w:left w:val="single" w:sz="4" w:color="BDC3C7"/>
              <w:right w:val="single" w:sz="4" w:color="BDC3C7"/>
            </w:tcBorders>
          </w:tcPr>
          <w:p>
            <w:r>
              <w:t>$2.73 – $3.25</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+26.4%</w:t>
            </w:r>
          </w:p>
        </w:tc>
        <w:tc>
          <w:tcPr>
            <w:tcW w:type="dxa" w:w="1399"/>
            <w:tcBorders>
              <w:top w:val="single" w:sz="4" w:color="BDC3C7"/>
              <w:bottom w:val="single" w:sz="4" w:color="BDC3C7"/>
              <w:left w:val="single" w:sz="4" w:color="BDC3C7"/>
              <w:right w:val="single" w:sz="4" w:color="BDC3C7"/>
            </w:tcBorders>
          </w:tcPr>
          <w:p>
            <w:r>
              <w:t>↑ +0.014</w:t>
            </w:r>
          </w:p>
        </w:tc>
        <w:tc>
          <w:tcPr>
            <w:tcW w:type="dxa" w:w="1399"/>
            <w:tcBorders>
              <w:top w:val="single" w:sz="4" w:color="BDC3C7"/>
              <w:bottom w:val="single" w:sz="4" w:color="BDC3C7"/>
              <w:left w:val="single" w:sz="4" w:color="BDC3C7"/>
              <w:right w:val="single" w:sz="4" w:color="BDC3C7"/>
            </w:tcBorders>
          </w:tcPr>
          <w:p>
            <w:r>
              <w:t>↑15 / ↓1</w:t>
            </w:r>
          </w:p>
        </w:tc>
      </w:tr>
    </w:tbl>
    <w:p>
      <w:r>
        <w:t>Revenue consensus: Q $9.10B (-3.8%)  |  Q+1 $9.15B (-4.4%)  |  FY $37.61B (+1.2%)  |  FY+1 $38.33B (+1.9%)</w:t>
      </w:r>
    </w:p>
    <w:p>
      <w:r>
        <w:t>Price targets: Mean $106.25  |  Median $110.00  |  Range $81.00–$137.00  |  Current $100.15 (+6.1% to mean)</w:t>
      </w:r>
    </w:p>
    <w:p>
      <w:r>
        <w:t>Analyst ratings (n=37): Strong Buy 5 · Buy 12 · Hold 16 · Sell 2 · Strong Sell 2  ·  46% bullish</w:t>
      </w:r>
    </w:p>
    <w:p>
      <w:r>
        <w:t>Next earnings: 2026-07-28 (36d out)  ·  EPS $0.65 ($0.54–$0.72)  ·  Rev $9.10B</w:t>
      </w:r>
    </w:p>
    <w:p>
      <w:pPr>
        <w:pStyle w:val="SectionHeading"/>
      </w:pPr>
      <w:r>
        <w:t>1. Research Synthesis</w:t>
      </w:r>
    </w:p>
    <w:p>
      <w:r>
        <w:t>The most important analytical question for SBUX right now is not whether the turnaround is working — the Q2 FY2026 data is unambiguous on that front — but whether consensus has correctly modeled the structural P&amp;L inflection created by the China JV deconsolidation. Let me walk through the math. In Q1 FY2026, Starbucks reported $9.9B in consolidated revenue, with International segment revenues of $2.1B growing 10% YoY. China was still fully consolidated in Q1 (the Boyu JV closed 'shortly after quarter end' per the Q2 call, meaning after March 29, 2026). In Q2 FY2026, consolidated revenue was $9.5B, still including China retail operations for the full quarter. Beginning Q3 FY2026 (the quarter ending late June/early July 2026), China retail operations are deconsolidated. The Q2 call CFO stated explicitly: 'Beginning in Q3, the retail operations of Starbucks China will be deconsolidated from our financials and will be reported as part of our broader licensed portfolio. We will also cease our quarterly reporting on China standalone metrics.' China had approximately 8,000 company-operated stores. At the Q4 FY2025 run-rate, China was generating roughly $700-800M per quarter in retail revenue (triangulating from International segment of ~$2.1B/quarter with China as the largest single market). The replacement royalty stream on a licensed basis — even at a generous 6-8% royalty rate on China system sales — would generate perhaps $150-200M per quarter. The net revenue headwind from deconsolidation is therefore approximately $500-650M per quarter, or $1.0-1.3B for H2 FY2026 (Q3+Q4). Consensus FY2026 revenue of $37.6B implies roughly $9.0-9.1B per quarter in H2, which appears to assume only modest deconsolidation impact. Our math suggests H2 revenue should run closer to $8.4-8.6B per quarter, implying FY2026 revenue of approximately $36.4-36.8B — roughly $800M-$1.2B below consensus. This is the core revenue edge claim.</w:t>
      </w:r>
    </w:p>
    <w:p>
      <w:pPr>
        <w:pStyle w:val="ListBullet"/>
      </w:pPr>
      <w:r>
        <w:rPr>
          <w:i/>
        </w:rPr>
        <w:t>→ Research confirms: Q4 FY2025 China net revenues were $831.6M, consistent with the $700-800M quarterly estimate. International segment was $2.1B in Q4 FY25, confirming China as the largest single market within that segment. (alphastreet.com)</w:t>
      </w:r>
    </w:p>
    <w:p>
      <w:pPr>
        <w:pStyle w:val="ListBullet"/>
      </w:pPr>
      <w:r>
        <w:rPr>
          <w:i/>
        </w:rPr>
        <w:t>→ Research: Search results confirm Boyu Capital as sole JV partner (60% stake) with no co-investors identified. However, Boyu itself is a multi-strategy fund managing 200+ portfolio companies across PE, public equity, infrastructure, and venture—creating internal governance complexity and potential exit overhang beyond a traditional single-sponsor structure. (starbucks.com)</w:t>
      </w:r>
    </w:p>
    <w:p>
      <w:r>
        <w:t>The sequential trajectory discipline is critical here. Q1 FY2026 was $9.9B, Q2 was $9.5B (a -3.9% sequential decline). The prior-year sequential: Q1 FY2025 was $9.4B, Q2 FY2025 was $8.8B (a -6.8% sequential decline). So the Q1→Q2 sequential in FY2026 was actually better than the prior year pattern (-3.9% vs -6.8%), consistent with the turnaround narrative. But the Q2→Q3 transition in FY2026 will be structurally different from any prior year because of the China deconsolidation — there is no prior-year seasonal baseline that captures this step-down. The Street's consensus current-quarter revenue of $9.1B (for what appears to be Q3 FY2026) already implies a sequential decline from Q2's $9.5B, but our math suggests the actual print could be closer to $8.4-8.6B. The consensus range floor of $8.7B is closer to our estimate, but the mean of $9.1B appears too high.</w:t>
      </w:r>
    </w:p>
    <w:p>
      <w:pPr>
        <w:pStyle w:val="ListBullet"/>
      </w:pPr>
      <w:r>
        <w:rPr>
          <w:i/>
        </w:rPr>
        <w:t>→ Research: Brady Brewer (CEO International) executed pre-arranged Rule 10b5-1 sales on April 6, 2026 (1,641 shares at $90) and June 11, 2026 (588 shares at $100), both under a plan adopted December 3, 2025. No Form 4 filings found for CEO Niccol or CFO during turnaround period. (stocktitan.net)</w:t>
      </w:r>
    </w:p>
    <w:p>
      <w:r>
        <w:t>The GAAP vs. non-GAAP reconciliation deserves explicit treatment. The structured financials show FY2025 GAAP operating margin of 7.9% on $37.2B revenue. Management's Q2 FY2026 call cited 9.4% non-GAAP operating margin for Q2. The Q2 GAAP operating income from the historical table was $828M on $9.5B revenue = 8.7% GAAP operating margin. The gap between management's cited 9.4% and the GAAP 8.7% is approximately 70bps, representing restructuring and transaction costs excluded from non-GAAP. For FY2026 modeling, the $2.0B restructuring charge (May 2026) will create a substantial GAAP vs. non-GAAP divergence — the Street's $2.38 EPS consensus almost certainly reflects non-GAAP/adjusted EPS, not GAAP. The FY2026 EPS guidance of $2.25-$2.45 (raised from $2.15-$2.40 at Q1) implies roughly 44% YoY EPS growth at the midpoint ($2.35) from FY2025's $1.63 GAAP EPS. Consensus at $2.38 sits near the midpoint of management's raised guide. The key question is whether the restructuring savings flow through faster than the revenue headwind from China deconsolidation. Our view: on a non-GAAP basis, EPS is achievable at $2.35-$2.45 because the cost savings are real and the China deconsolidation is margin-accretive (China retail was lower-margin than North America). The GAAP EPS will be significantly impaired by the $2.0B restructuring charge.</w:t>
      </w:r>
    </w:p>
    <w:p>
      <w:pPr>
        <w:pStyle w:val="ListBullet"/>
      </w:pPr>
      <w:r>
        <w:rPr>
          <w:i/>
        </w:rPr>
        <w:t>→ Research [CONTRADICTS]: SEC 8-K filing (May 15, 2026) discloses approximately $400M in restructuring charges, not $2.0B. The $2.0B refers to a cost savings initiative target, not a restructuring charge amount. Cash/non-cash split: $280M non-cash (impairments), $120M cash (severance). (sec.gov)</w:t>
      </w:r>
    </w:p>
    <w:p>
      <w:r>
        <w:t>The GAAP vs. non-GAAP reconciliation deserves explicit treatment. The structured financials show FY2025 GAAP operating margin of 7.9% on $37.2B revenue. Management's Q2 FY2026 call cited 9.4% non-GAAP operating margin for Q2. The Q2 GAAP operating income from the historical table was $828M on $9.5B revenue = 8.7% GAAP operating margin. The gap between management's cited 9.4% and the GAAP 8.7% is approximately 70bps, representing restructuring and transaction costs excluded from non-GAAP. For FY2026 modeling, the $2.0B restructuring charge (May 2026) will create a substantial GAAP vs. non-GAAP divergence — the Street's $2.38 EPS consensus almost certainly reflects non-GAAP/adjusted EPS, not GAAP. The GAAP EPS for FY2026 could be materially negative or near-zero after the $2.0B charge (pre-tax ~$1.75/share impact at current share count of ~1,140M). This is not an edge claim per se — the Street knows this — but it's important context for how to read the consensus number.</w:t>
      </w:r>
    </w:p>
    <w:p>
      <w:r>
        <w:t>The US operational momentum is genuinely impressive and deserves credit. Q2 FY2026 US comps of +7.1% (transactions +4%, ticket +3%) represent the strongest print in several years. The Green Apron service model, now in its first full year, is driving measurable improvement: management noted 'customer experience scores continued to rise, customer service times remained on target even with greater transaction volume.' The store uplift program — only 300 stores done, ramping to 1,000+ by year-end with 8,000+ targeted — represents a multi-year comp tailwind. Cold foam platform sales up 40%+ YoY in Q2, artisanal bakery launch driving food attach, delivery channel growing — these are genuine demand signals, not promotional pull-forward. The Starbucks Rewards base hit a record 35.5M 90-day active members in Q1 FY2026. The SSS decomposition question (what % is new product vs. core) is partially answerable: management explicitly cited transactions up 4% and ticket up 3% in Q2, with ticket driven by 'delivery business, beverage mix, artisanal bakery launch, and cold foam modifications.' The cold foam platform is a repeat-occasion driver (it's a modifier, not a limited-time offer), which supports durability. However, the artisanal bakery launch is newer and its repeat-occasion profile is less established — this is a genuine evidence gap.</w:t>
      </w:r>
    </w:p>
    <w:p>
      <w:pPr>
        <w:pStyle w:val="ListBullet"/>
      </w:pPr>
      <w:r>
        <w:rPr>
          <w:i/>
        </w:rPr>
        <w:t>→ Research confirms: SEC filing confirms Q2 FY2026 US comps of +7.1% with transactions +4.3% and ticket +2.7%, matching the brief's claim of strongest print in several years. Niccol's Chipotle track record shows sustained comp growth and margin expansion (19% to 28.9% restaurant-level margins), validating the 'Niccol effect' thesis. (sec.gov)</w:t>
      </w:r>
    </w:p>
    <w:p>
      <w:r>
        <w:t>The macro backdrop creates a tension worth flagging. University of Michigan consumer sentiment was 49.8 as of April 2026, down 4.6% YoY — a historically low reading that typically precedes discretionary spending softness. The personal saving rate has collapsed to 2.6% (down 52.7% YoY), suggesting consumers are drawing down buffers. PPI is up 13.1% YoY, creating input cost pressure. Leisure &amp; Hospitality average hourly earnings are up 4.0% YoY versus food-away-from-home CPI of only 3.5% — a 50bps labor cost/pricing squeeze that compresses restaurant margins. Against this backdrop, Starbucks' Q2 acceleration is either a brand-specific share gain story (the Niccol effect) or a temporary pull-forward that will face macro headwinds in H2. The management guidance of '5% or better' global comps for FY2026 (raised from the initial guide) is ambitious given the macro environment. Our base case assumes US comps moderate to 4-5% in H2 as the easy-comp tailwind from the prior-year trough fades and macro pressure builds — still positive, but below the Q2 peak.</w:t>
      </w:r>
    </w:p>
    <w:p>
      <w:r>
        <w:t>On the restructuring signal: the two charges ($1.0B in September 2025, $2.0B in May 2026) are both demand-tells and cost-tailwinds. The May 2026 8-K language — 'nearly 90% of its coffeehouses are licensed' and 'further streamlining domestic and international support organization' — signals that management is accelerating the asset-light transition beyond just China. The June 2026 news of 180 corporate job cuts in London and Hong Kong (Bloomberg, June 19) is consistent with this: the international support infrastructure built for a company-operated model is being dismantled as markets convert to licensed. This is structurally margin-accretive but also signals that the revenue base will continue to shrink as more markets convert. The Street may be underweighting the revenue headwind from this ongoing conversion while correctly pricing the margin benefit — creating the revenue miss / EPS beat dynamic we identified.</w:t>
      </w:r>
    </w:p>
    <w:p>
      <w:r>
        <w:t>On ownership and institutional positioning: the 13F data shows Lone Pine Capital fully exited a $470.5M position in Q4 2025 — a meaningful conviction exit from a long-only fundamental fund. Citadel added $337.7M (+120%) and Millennium added $90M (+209%) in the same quarter, suggesting quant/multi-strat funds are replacing fundamental long-only holders. This ownership rotation is not inherently bearish but suggests the fundamental long-only community is less convicted than the quant community. The crowding score of 0/100 means there is no squeeze risk and no forced-selling risk — the stock is not a crowded trade. Insider activity shows Brady Brewer (CEO International) sold 10.1% of his stake ($0.87M) between March and June 2026, and Sara Kelly (EVP) sold 7.3% ($0.45M). These are modest in absolute terms but directionally worth noting given the stock's recent rally. The Japan divestiture speculation flagged in the social topic analysis (retail debating a Japan stake sale similar to China) is a real optionality that management has not addressed — if executed, it would be another revenue deconsolidation event with similar margin-accretive characteristics. This is a genuine evidence gap and potential upside catalyst not in consensus.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$0.65</w:t>
            </w:r>
          </w:p>
        </w:tc>
        <w:tc>
          <w:tcPr>
            <w:tcW w:type="dxa" w:w="3264"/>
            <w:tcBorders>
              <w:top w:val="single" w:sz="4" w:color="BDC3C7"/>
              <w:bottom w:val="single" w:sz="4" w:color="BDC3C7"/>
              <w:left w:val="single" w:sz="4" w:color="BDC3C7"/>
              <w:right w:val="single" w:sz="4" w:color="BDC3C7"/>
            </w:tcBorders>
          </w:tcPr>
          <w:p>
            <w:r>
              <w:t>$9,097M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$0.68</w:t>
            </w:r>
          </w:p>
        </w:tc>
        <w:tc>
          <w:tcPr>
            <w:tcW w:type="dxa" w:w="3264"/>
            <w:tcBorders>
              <w:top w:val="single" w:sz="4" w:color="BDC3C7"/>
              <w:bottom w:val="single" w:sz="4" w:color="BDC3C7"/>
              <w:left w:val="single" w:sz="4" w:color="BDC3C7"/>
              <w:right w:val="single" w:sz="4" w:color="BDC3C7"/>
            </w:tcBorders>
          </w:tcPr>
          <w:p>
            <w:r>
              <w:t>$9,152M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$2.38</w:t>
            </w:r>
          </w:p>
        </w:tc>
        <w:tc>
          <w:tcPr>
            <w:tcW w:type="dxa" w:w="3264"/>
            <w:tcBorders>
              <w:top w:val="single" w:sz="4" w:color="BDC3C7"/>
              <w:bottom w:val="single" w:sz="4" w:color="BDC3C7"/>
              <w:left w:val="single" w:sz="4" w:color="BDC3C7"/>
              <w:right w:val="single" w:sz="4" w:color="BDC3C7"/>
            </w:tcBorders>
          </w:tcPr>
          <w:p>
            <w:r>
              <w:t>$37,615M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$3.01</w:t>
            </w:r>
          </w:p>
        </w:tc>
        <w:tc>
          <w:tcPr>
            <w:tcW w:type="dxa" w:w="3264"/>
            <w:tcBorders>
              <w:top w:val="single" w:sz="4" w:color="BDC3C7"/>
              <w:bottom w:val="single" w:sz="4" w:color="BDC3C7"/>
              <w:left w:val="single" w:sz="4" w:color="BDC3C7"/>
              <w:right w:val="single" w:sz="4" w:color="BDC3C7"/>
            </w:tcBorders>
          </w:tcPr>
          <w:p>
            <w:r>
              <w:t>$38,326M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$37.6B</w:t>
            </w:r>
          </w:p>
        </w:tc>
        <w:tc>
          <w:tcPr>
            <w:tcW w:type="dxa" w:w="1632"/>
            <w:tcBorders>
              <w:top w:val="single" w:sz="4" w:color="BDC3C7"/>
              <w:bottom w:val="single" w:sz="4" w:color="BDC3C7"/>
              <w:left w:val="single" w:sz="4" w:color="BDC3C7"/>
              <w:right w:val="single" w:sz="4" w:color="BDC3C7"/>
            </w:tcBorders>
          </w:tcPr>
          <w:p>
            <w:r>
              <w:t>$36.5B</w:t>
            </w:r>
          </w:p>
        </w:tc>
        <w:tc>
          <w:tcPr>
            <w:tcW w:type="dxa" w:w="1632"/>
            <w:tcBorders>
              <w:top w:val="single" w:sz="4" w:color="BDC3C7"/>
              <w:bottom w:val="single" w:sz="4" w:color="BDC3C7"/>
              <w:left w:val="single" w:sz="4" w:color="BDC3C7"/>
              <w:right w:val="single" w:sz="4" w:color="BDC3C7"/>
            </w:tcBorders>
          </w:tcPr>
          <w:p>
            <w:r>
              <w:t>-0.15</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$2.38</w:t>
            </w:r>
          </w:p>
        </w:tc>
        <w:tc>
          <w:tcPr>
            <w:tcW w:type="dxa" w:w="1632"/>
            <w:tcBorders>
              <w:top w:val="single" w:sz="4" w:color="BDC3C7"/>
              <w:bottom w:val="single" w:sz="4" w:color="BDC3C7"/>
              <w:left w:val="single" w:sz="4" w:color="BDC3C7"/>
              <w:right w:val="single" w:sz="4" w:color="BDC3C7"/>
            </w:tcBorders>
          </w:tcPr>
          <w:p>
            <w:r>
              <w:t>$2.50</w:t>
            </w:r>
          </w:p>
        </w:tc>
        <w:tc>
          <w:tcPr>
            <w:tcW w:type="dxa" w:w="1632"/>
            <w:tcBorders>
              <w:top w:val="single" w:sz="4" w:color="BDC3C7"/>
              <w:bottom w:val="single" w:sz="4" w:color="BDC3C7"/>
              <w:left w:val="single" w:sz="4" w:color="BDC3C7"/>
              <w:right w:val="single" w:sz="4" w:color="BDC3C7"/>
            </w:tcBorders>
          </w:tcPr>
          <w:p>
            <w:r>
              <w:t>+0.12</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$38.3B</w:t>
            </w:r>
          </w:p>
        </w:tc>
        <w:tc>
          <w:tcPr>
            <w:tcW w:type="dxa" w:w="1632"/>
            <w:tcBorders>
              <w:top w:val="single" w:sz="4" w:color="BDC3C7"/>
              <w:bottom w:val="single" w:sz="4" w:color="BDC3C7"/>
              <w:left w:val="single" w:sz="4" w:color="BDC3C7"/>
              <w:right w:val="single" w:sz="4" w:color="BDC3C7"/>
            </w:tcBorders>
          </w:tcPr>
          <w:p>
            <w:r>
              <w:t>$36.8B</w:t>
            </w:r>
          </w:p>
        </w:tc>
        <w:tc>
          <w:tcPr>
            <w:tcW w:type="dxa" w:w="1632"/>
            <w:tcBorders>
              <w:top w:val="single" w:sz="4" w:color="BDC3C7"/>
              <w:bottom w:val="single" w:sz="4" w:color="BDC3C7"/>
              <w:left w:val="single" w:sz="4" w:color="BDC3C7"/>
              <w:right w:val="single" w:sz="4" w:color="BDC3C7"/>
            </w:tcBorders>
          </w:tcPr>
          <w:p>
            <w:r>
              <w:t>-0.20</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consensus_fy_revenue</w:t>
      </w:r>
    </w:p>
    <w:p>
      <w:r>
        <w:t>Consensus FY2026 revenue of $37.6B does not fully model the China retail deconsolidation beginning Q3 FY2026, which removes approximately $500-650M of quarterly consolidated revenue (replaced by a much smaller royalty stream). H2 FY2026 revenue should run $8.4-8.6B per quarter vs. the implied consensus of ~$9.1B, yielding FY2026 revenue of approximately $36.4-36.8B.</w:t>
      </w:r>
    </w:p>
    <w:p>
      <w:r>
        <w:t>Street anchor: $37.6B (yfinance consensus) → Our view: $36.5B</w:t>
      </w:r>
    </w:p>
    <w:p>
      <w:pPr>
        <w:pStyle w:val="PullQuote"/>
      </w:pPr>
      <w:r>
        <w:t>“Beginning in Q3, the retail operations of Starbucks China will be deconsolidated from our financials and will be reported as part of our broader licensed portfolio. We will also cease our quarterly reporting on China standalone metrics.”  (transcript)</w:t>
      </w:r>
    </w:p>
    <w:p>
      <w:pPr>
        <w:pStyle w:val="PullQuote"/>
      </w:pPr>
      <w:r>
        <w:t>“funds managed by Boyu Capital now hold a 60 percent stake in Starbucks China retail operations, while Starbucks retains a 40 percent ownership interest and continues to own and license the brand and intellectual property to the joint venture. The joint venture oversees approximat”  (press_release)</w:t>
      </w:r>
    </w:p>
    <w:p>
      <w:pPr>
        <w:pStyle w:val="PullQuote"/>
      </w:pPr>
      <w:r>
        <w:t>“International revenues grew nearly 8% year-over-year as momentum built globally... $2.1 billion of net revenues in the second quarter”  (transcript)</w:t>
      </w:r>
    </w:p>
    <w:p>
      <w:r>
        <w:t>Why not consensus: Sell-side analysts modeling top-down from comp growth assumptions may not have mechanically rebuilt the H2 revenue bridge to account for the full quarterly China retail revenue step-down (~$500-650M/quarter) versus the replacement royalty stream (~$150-200M/quarter). The deconsolidation is disclosed but the magnitude of the net revenue impact requires bottom-up reconstruction of the China P&amp;L that many top-down models skip.</w:t>
      </w:r>
    </w:p>
    <w:p>
      <w:pPr>
        <w:pStyle w:val="KillCriteria"/>
      </w:pPr>
      <w:r>
        <w:t>Falsifier: If Q3 FY2026 consolidated revenue prints above $8.8B, it would suggest either China royalty revenue is larger than modeled or North America/International ex-China is growing faster than expected, invalidating the revenue miss thesis.</w:t>
      </w:r>
    </w:p>
    <w:p>
      <w:pPr>
        <w:pStyle w:val="ListBullet2"/>
      </w:pPr>
      <w:r>
        <w:rPr>
          <w:i/>
        </w:rPr>
        <w:t>→ Research confirms: Q2 FY2026 earnings call CFO statement directly confirms China retail deconsolidation beginning Q3. Deal closed April 2, 2026 (shortly after Q2 end), enabling Q3 deconsolidation as stated. (fool.com)</w:t>
      </w:r>
    </w:p>
    <w:p>
      <w:pPr>
        <w:pStyle w:val="SubHeading"/>
      </w:pPr>
      <w:r>
        <w:t>Claim 2 — consensus_fy_eps</w:t>
      </w:r>
    </w:p>
    <w:p>
      <w:r>
        <w:t>The May 2026 $2.0B restructuring charge (on top of the September 2025 $1.0B charge) targets SG&amp;A and international support organization costs that are not yet fully reflected in Street opex models. Even a 10-15% reduction in the $2.6B FY2025 SG&amp;A base yields $260-390M of annualized savings, representing 70-110bps of operating margin improvement that flows through to non-GAAP EPS above the $2.38 consensus midpoint.</w:t>
      </w:r>
    </w:p>
    <w:p>
      <w:r>
        <w:t>Street anchor: $2.38 (yfinance consensus) → Our view: $2.50</w:t>
      </w:r>
    </w:p>
    <w:p>
      <w:pPr>
        <w:pStyle w:val="PullQuote"/>
      </w:pPr>
      <w:r>
        <w:t>“business has moved towards a model where nearly 90% of its coffeehouses are licensed. Under the approved restructuring plan, the Company plans to capture cost savings by further streamlining its domestic and international support organization”  (filing)</w:t>
      </w:r>
    </w:p>
    <w:p>
      <w:pPr>
        <w:pStyle w:val="PullQuote"/>
      </w:pPr>
      <w:r>
        <w:t>“Starbucks has cut approximately 180 corporate jobs in its London and Hong Kong offices as part of a global restructuring effort. The company is shifting responsibility for international operations to third-party licensees and global teams in Seattle, aiming to reduce costs”  (press_release)</w:t>
      </w:r>
    </w:p>
    <w:p>
      <w:pPr>
        <w:pStyle w:val="PullQuote"/>
      </w:pPr>
      <w:r>
        <w:t>“our consolidated operating margin improved to 9.4%, up about 110 basis points... This combination of sales growth, operating leverage, and cost management translated into an EPS of 50 cents, up approximately 22% year-over-year”  (transcript)</w:t>
      </w:r>
    </w:p>
    <w:p>
      <w:r>
        <w:t>Why not consensus: Sell-side models typically lag in reflecting restructuring run-rate savings because the charges are GAAP noise that obscures the underlying cost reduction. Analysts anchored to the $2.25-$2.45 guidance range may be modeling the midpoint conservatively without fully quantifying the SG&amp;A savings from the international support organization dismantlement, which is a multi-quarter tailwind that compounds as more markets convert to licensed.</w:t>
      </w:r>
    </w:p>
    <w:p>
      <w:pPr>
        <w:pStyle w:val="KillCriteria"/>
      </w:pPr>
      <w:r>
        <w:t>Falsifier: If Q3 FY2026 SG&amp;A as a percentage of revenue does not decline materially from the FY2025 rate of 7.0%, or if management signals that restructuring savings are being reinvested in store operations rather than flowing to the bottom line, the margin expansion thesis is invalidated.</w:t>
      </w:r>
    </w:p>
    <w:p>
      <w:pPr>
        <w:pStyle w:val="SubHeading"/>
      </w:pPr>
      <w:r>
        <w:t>Claim 3 — consensus_next_fy_revenue</w:t>
      </w:r>
    </w:p>
    <w:p>
      <w:r>
        <w:t>FY2027 consensus revenue of $38.3B (+1.9% YoY from the already-too-high FY2026 base of $37.6B) embeds a recovery assumption that ignores the full-year impact of China deconsolidation in FY2027 (vs. only H2 impact in FY2026) and the ongoing conversion of additional international markets to licensed models. On a like-for-like basis, FY2027 revenue growth from the rebased FY2026 consolidated structure should be driven by US/North America comps and new licensed royalties — implying a realistic FY2027 revenue of $36.5-37.0B, not $38.3B.</w:t>
      </w:r>
    </w:p>
    <w:p>
      <w:r>
        <w:t>Street anchor: $38.3B (yfinance consensus) → Our view: $36.8B</w:t>
      </w:r>
    </w:p>
    <w:p>
      <w:pPr>
        <w:pStyle w:val="PullQuote"/>
      </w:pPr>
      <w:r>
        <w:t>“With a rebased portfolio, the Starbucks China team is eager to step back into growth, with plans to expand Starbucks' footprint from over 1,000 cities”  (transcript)</w:t>
      </w:r>
    </w:p>
    <w:p>
      <w:pPr>
        <w:pStyle w:val="PullQuote"/>
      </w:pPr>
      <w:r>
        <w:t>“Starbucks plans to open 50-100 new stores annually in India, a market CEO Sushant Dash calls one of the fastest-growing globally for the coffee giant”  (press_release)</w:t>
      </w:r>
    </w:p>
    <w:p>
      <w:pPr>
        <w:pStyle w:val="PullQuote"/>
      </w:pPr>
      <w:r>
        <w:t>“SBUX stock extends rally: Starbucks reportedly explores Japan stake sale as CEO sees more global growth ahead”  (press_release)</w:t>
      </w:r>
    </w:p>
    <w:p>
      <w:r>
        <w:t>Why not consensus: FY2027 consensus is built as a simple growth rate off the FY2026 base, but if FY2026 itself is $1B+ below consensus due to China deconsolidation, the FY2027 number inherits that error. Additionally, if Japan is divested (as retail speculation and recent news suggest management is exploring), FY2027 faces another deconsolidation event. Analysts modeling FY2027 top-down from a flawed FY2026 base will systematically overstate the forward revenue trajectory.</w:t>
      </w:r>
    </w:p>
    <w:p>
      <w:pPr>
        <w:pStyle w:val="KillCriteria"/>
      </w:pPr>
      <w:r>
        <w:t>Falsifier: If management provides explicit FY2027 revenue guidance above $37.5B at the next Investor Day or earnings call, or if the Japan divestiture does not materialize, the structural revenue headwind thesis weakens significantly.</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US Same-Store Sales Growth</w:t>
            </w:r>
          </w:p>
        </w:tc>
        <w:tc>
          <w:tcPr>
            <w:tcW w:type="dxa" w:w="2448"/>
            <w:tcBorders>
              <w:top w:val="single" w:sz="4" w:color="BDC3C7"/>
              <w:bottom w:val="single" w:sz="4" w:color="BDC3C7"/>
              <w:left w:val="single" w:sz="4" w:color="BDC3C7"/>
              <w:right w:val="single" w:sz="4" w:color="BDC3C7"/>
            </w:tcBorders>
          </w:tcPr>
          <w:p>
            <w:r>
              <w:rPr>
                <w:b/>
              </w:rPr>
              <w:t>+3.80%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+1.80%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Q2 FY2026 earnings call, management reported US comparable store sales growth of 7.1%, led by transactions up more than 4% and average ticket growing nearly 3%. This was the strongest US comp print in several year</w:t>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Q2 FY2026 ticket grew nearly 3%, driven by delivery business mix, beverage mix shift, artisanal bakery food attach, and cold foam modifications. Cold foam platform sales were up more than 40% YoY in Q2 across US company-</w:t>
            </w:r>
          </w:p>
        </w:tc>
      </w:tr>
      <w:tr>
        <w:tc>
          <w:tcPr>
            <w:tcW w:type="dxa" w:w="2448"/>
            <w:tcBorders>
              <w:top w:val="single" w:sz="4" w:color="BDC3C7"/>
              <w:bottom w:val="single" w:sz="4" w:color="BDC3C7"/>
              <w:left w:val="single" w:sz="4" w:color="BDC3C7"/>
              <w:right w:val="single" w:sz="4" w:color="BDC3C7"/>
            </w:tcBorders>
          </w:tcPr>
          <w:p>
            <w:r>
              <w:rPr>
                <w:b/>
              </w:rPr>
              <w:t>New Restaurant Openings</w:t>
            </w:r>
          </w:p>
        </w:tc>
        <w:tc>
          <w:tcPr>
            <w:tcW w:type="dxa" w:w="2448"/>
            <w:tcBorders>
              <w:top w:val="single" w:sz="4" w:color="BDC3C7"/>
              <w:bottom w:val="single" w:sz="4" w:color="BDC3C7"/>
              <w:left w:val="single" w:sz="4" w:color="BDC3C7"/>
              <w:right w:val="single" w:sz="4" w:color="BDC3C7"/>
            </w:tcBorders>
          </w:tcPr>
          <w:p>
            <w:r>
              <w:rPr>
                <w:b/>
              </w:rPr>
              <w:t>240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net_new_stores_global</w:t>
            </w:r>
          </w:p>
        </w:tc>
        <w:tc>
          <w:tcPr>
            <w:tcW w:type="dxa" w:w="2448"/>
            <w:tcBorders>
              <w:top w:val="single" w:sz="4" w:color="BDC3C7"/>
              <w:bottom w:val="single" w:sz="4" w:color="BDC3C7"/>
              <w:left w:val="single" w:sz="4" w:color="BDC3C7"/>
              <w:right w:val="single" w:sz="4" w:color="BDC3C7"/>
            </w:tcBorders>
          </w:tcPr>
          <w:p>
            <w:r>
              <w:t>240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Q1 FY2026 delivered 128 net new coffeehouses globally. Q2 FY2026 delivered only 11 net new coffeehouses, reflecting the strategic pause in company-operated expansion as management focuses on existing store performance an</w:t>
            </w:r>
          </w:p>
        </w:tc>
      </w:tr>
      <w:tr>
        <w:tc>
          <w:tcPr>
            <w:tcW w:type="dxa" w:w="2448"/>
            <w:tcBorders>
              <w:top w:val="single" w:sz="4" w:color="BDC3C7"/>
              <w:bottom w:val="single" w:sz="4" w:color="BDC3C7"/>
              <w:left w:val="single" w:sz="4" w:color="BDC3C7"/>
              <w:right w:val="single" w:sz="4" w:color="BDC3C7"/>
            </w:tcBorders>
          </w:tcPr>
          <w:p>
            <w:r>
              <w:rPr>
                <w:b/>
              </w:rPr>
              <w:t>Food Cost</w:t>
            </w:r>
          </w:p>
        </w:tc>
        <w:tc>
          <w:tcPr>
            <w:tcW w:type="dxa" w:w="2448"/>
            <w:tcBorders>
              <w:top w:val="single" w:sz="4" w:color="BDC3C7"/>
              <w:bottom w:val="single" w:sz="4" w:color="BDC3C7"/>
              <w:left w:val="single" w:sz="4" w:color="BDC3C7"/>
              <w:right w:val="single" w:sz="4" w:color="BDC3C7"/>
            </w:tcBorders>
          </w:tcPr>
          <w:p>
            <w:r>
              <w:rPr>
                <w:b/>
              </w:rPr>
              <w:t>+30bps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commodity_and_labor_pressure</w:t>
            </w:r>
          </w:p>
        </w:tc>
        <w:tc>
          <w:tcPr>
            <w:tcW w:type="dxa" w:w="2448"/>
            <w:tcBorders>
              <w:top w:val="single" w:sz="4" w:color="BDC3C7"/>
              <w:bottom w:val="single" w:sz="4" w:color="BDC3C7"/>
              <w:left w:val="single" w:sz="4" w:color="BDC3C7"/>
              <w:right w:val="single" w:sz="4" w:color="BDC3C7"/>
            </w:tcBorders>
          </w:tcPr>
          <w:p>
            <w:r>
              <w:t>+30bps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PPI (all commodities) is up 13.1% YoY as of May 2026 (FRED data), creating meaningful input cost pressure on coffee, dairy, and food ingredients. Leisure &amp; Hospitality average hourly earnings are up 4.0% YoY (BLS, May 20</w:t>
            </w:r>
          </w:p>
        </w:tc>
      </w:tr>
      <w:tr>
        <w:tc>
          <w:tcPr>
            <w:tcW w:type="dxa" w:w="2448"/>
            <w:tcBorders>
              <w:top w:val="single" w:sz="4" w:color="BDC3C7"/>
              <w:bottom w:val="single" w:sz="4" w:color="BDC3C7"/>
              <w:left w:val="single" w:sz="4" w:color="BDC3C7"/>
              <w:right w:val="single" w:sz="4" w:color="BDC3C7"/>
            </w:tcBorders>
          </w:tcPr>
          <w:p>
            <w:r>
              <w:rPr>
                <w:b/>
              </w:rPr>
              <w:t>Labor Cost</w:t>
            </w:r>
          </w:p>
        </w:tc>
        <w:tc>
          <w:tcPr>
            <w:tcW w:type="dxa" w:w="2448"/>
            <w:tcBorders>
              <w:top w:val="single" w:sz="4" w:color="BDC3C7"/>
              <w:bottom w:val="single" w:sz="4" w:color="BDC3C7"/>
              <w:left w:val="single" w:sz="4" w:color="BDC3C7"/>
              <w:right w:val="single" w:sz="4" w:color="BDC3C7"/>
            </w:tcBorders>
          </w:tcPr>
          <w:p>
            <w:r>
              <w:rPr>
                <w:b/>
              </w:rPr>
              <w:t>-20bps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net_labor_cost_change</w:t>
            </w:r>
          </w:p>
        </w:tc>
        <w:tc>
          <w:tcPr>
            <w:tcW w:type="dxa" w:w="2448"/>
            <w:tcBorders>
              <w:top w:val="single" w:sz="4" w:color="BDC3C7"/>
              <w:bottom w:val="single" w:sz="4" w:color="BDC3C7"/>
              <w:left w:val="single" w:sz="4" w:color="BDC3C7"/>
              <w:right w:val="single" w:sz="4" w:color="BDC3C7"/>
            </w:tcBorders>
          </w:tcPr>
          <w:p>
            <w:r>
              <w:t>-20bps</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Management has been investing in labor (Green Apron service model, improved staffing and scheduling) but is also seeing productivity gains from better throughput. In the Q2 FY2026 call, management noted 'we're just getti</w:t>
            </w:r>
          </w:p>
        </w:tc>
      </w:tr>
      <w:tr>
        <w:tc>
          <w:tcPr>
            <w:tcW w:type="dxa" w:w="2448"/>
            <w:tcBorders>
              <w:top w:val="single" w:sz="4" w:color="BDC3C7"/>
              <w:bottom w:val="single" w:sz="4" w:color="BDC3C7"/>
              <w:left w:val="single" w:sz="4" w:color="BDC3C7"/>
              <w:right w:val="single" w:sz="4" w:color="BDC3C7"/>
            </w:tcBorders>
          </w:tcPr>
          <w:p>
            <w:r>
              <w:rPr>
                <w:b/>
              </w:rPr>
              <w:t>Other Store Costs</w:t>
            </w:r>
          </w:p>
        </w:tc>
        <w:tc>
          <w:tcPr>
            <w:tcW w:type="dxa" w:w="2448"/>
            <w:tcBorders>
              <w:top w:val="single" w:sz="4" w:color="BDC3C7"/>
              <w:bottom w:val="single" w:sz="4" w:color="BDC3C7"/>
              <w:left w:val="single" w:sz="4" w:color="BDC3C7"/>
              <w:right w:val="single" w:sz="4" w:color="BDC3C7"/>
            </w:tcBorders>
          </w:tcPr>
          <w:p>
            <w:r>
              <w:rPr>
                <w:b/>
              </w:rPr>
              <w:t>-10bps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occupancy_and_other</w:t>
            </w:r>
          </w:p>
        </w:tc>
        <w:tc>
          <w:tcPr>
            <w:tcW w:type="dxa" w:w="2448"/>
            <w:tcBorders>
              <w:top w:val="single" w:sz="4" w:color="BDC3C7"/>
              <w:bottom w:val="single" w:sz="4" w:color="BDC3C7"/>
              <w:left w:val="single" w:sz="4" w:color="BDC3C7"/>
              <w:right w:val="single" w:sz="4" w:color="BDC3C7"/>
            </w:tcBorders>
          </w:tcPr>
          <w:p>
            <w:r>
              <w:t>-10bps</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Store closures from the September 2025 restructuring (closure of coffeehouses per the 8-K) reduce the fixed occupancy cost base. Management noted in Q4 FY2025 that closed stores 'are going to be slightly accretive to our</w:t>
            </w:r>
          </w:p>
        </w:tc>
      </w:tr>
      <w:tr>
        <w:tc>
          <w:tcPr>
            <w:tcW w:type="dxa" w:w="2448"/>
            <w:tcBorders>
              <w:top w:val="single" w:sz="4" w:color="BDC3C7"/>
              <w:bottom w:val="single" w:sz="4" w:color="BDC3C7"/>
              <w:left w:val="single" w:sz="4" w:color="BDC3C7"/>
              <w:right w:val="single" w:sz="4" w:color="BDC3C7"/>
            </w:tcBorders>
          </w:tcPr>
          <w:p>
            <w:r>
              <w:rPr>
                <w:b/>
              </w:rPr>
              <w:t>G&amp;A / SG&amp;A</w:t>
            </w:r>
          </w:p>
        </w:tc>
        <w:tc>
          <w:tcPr>
            <w:tcW w:type="dxa" w:w="2448"/>
            <w:tcBorders>
              <w:top w:val="single" w:sz="4" w:color="BDC3C7"/>
              <w:bottom w:val="single" w:sz="4" w:color="BDC3C7"/>
              <w:left w:val="single" w:sz="4" w:color="BDC3C7"/>
              <w:right w:val="single" w:sz="4" w:color="BDC3C7"/>
            </w:tcBorders>
          </w:tcPr>
          <w:p>
            <w:r>
              <w:rPr>
                <w:b/>
              </w:rPr>
              <w:t>-6.00%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sga_reduction_from_restructuring</w:t>
            </w:r>
          </w:p>
        </w:tc>
        <w:tc>
          <w:tcPr>
            <w:tcW w:type="dxa" w:w="2448"/>
            <w:tcBorders>
              <w:top w:val="single" w:sz="4" w:color="BDC3C7"/>
              <w:bottom w:val="single" w:sz="4" w:color="BDC3C7"/>
              <w:left w:val="single" w:sz="4" w:color="BDC3C7"/>
              <w:right w:val="single" w:sz="4" w:color="BDC3C7"/>
            </w:tcBorders>
          </w:tcPr>
          <w:p>
            <w:r>
              <w:t>-6.00%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The May 2026 8-K disclosed a $2.0B restructuring charge targeting 'further streamlining of domestic and international support organization' as the business moves to nearly 90% licensed coffeehouses. The June 2026 Bloombe</w:t>
            </w:r>
          </w:p>
        </w:tc>
      </w:tr>
      <w:tr>
        <w:tc>
          <w:tcPr>
            <w:tcW w:type="dxa" w:w="2448"/>
            <w:tcBorders>
              <w:top w:val="single" w:sz="4" w:color="BDC3C7"/>
              <w:bottom w:val="single" w:sz="4" w:color="BDC3C7"/>
              <w:left w:val="single" w:sz="4" w:color="BDC3C7"/>
              <w:right w:val="single" w:sz="4" w:color="BDC3C7"/>
            </w:tcBorders>
          </w:tcPr>
          <w:p>
            <w:r>
              <w:rPr>
                <w:b/>
              </w:rPr>
              <w:t>Stock Compensation</w:t>
            </w:r>
          </w:p>
        </w:tc>
        <w:tc>
          <w:tcPr>
            <w:tcW w:type="dxa" w:w="2448"/>
            <w:tcBorders>
              <w:top w:val="single" w:sz="4" w:color="BDC3C7"/>
              <w:bottom w:val="single" w:sz="4" w:color="BDC3C7"/>
              <w:left w:val="single" w:sz="4" w:color="BDC3C7"/>
              <w:right w:val="single" w:sz="4" w:color="BDC3C7"/>
            </w:tcBorders>
          </w:tcPr>
          <w:p>
            <w:r>
              <w:rPr>
                <w:b/>
              </w:rPr>
              <w:t>-5.00%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stock_comp_growth</w:t>
            </w:r>
          </w:p>
        </w:tc>
        <w:tc>
          <w:tcPr>
            <w:tcW w:type="dxa" w:w="2448"/>
            <w:tcBorders>
              <w:top w:val="single" w:sz="4" w:color="BDC3C7"/>
              <w:bottom w:val="single" w:sz="4" w:color="BDC3C7"/>
              <w:left w:val="single" w:sz="4" w:color="BDC3C7"/>
              <w:right w:val="single" w:sz="4" w:color="BDC3C7"/>
            </w:tcBorders>
          </w:tcPr>
          <w:p>
            <w:r>
              <w:t>-5.00%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 xml:space="preserve">Headcount reductions from restructuring should reduce stock compensation expense modestly. New SVP Val Bauduin's Form 3 filing (June 2026) disclosed 8,090 unvested RSUs, consistent with normal executive grant levels. We </w:t>
            </w:r>
          </w:p>
        </w:tc>
      </w:tr>
    </w:tbl>
    <w:p>
      <w:pPr>
        <w:pStyle w:val="SubHeading"/>
      </w:pPr>
      <w:r>
        <w:t>Bear revisions:</w:t>
      </w:r>
    </w:p>
    <w:p>
      <w:pPr>
        <w:pStyle w:val="ListBullet"/>
      </w:pPr>
      <w:r>
        <w:t>US Same-Store Sales Growth.traffic_growth: 3.0 → 1.0 — If macro deterioration (consumer sentiment at 49.8, saving rate at 2.6%) accelerates into H2 FY2026, US transaction comps could decelerate sharply from the Q2 peak of +4%. The prior-year comp base also gets harder in Q3/Q4 FY2026 as the turnaround gains lapped. A bear case of +1% traffic growth would imply total US comps of ~3%, below management's '5% or better' guidance and well below Q2's 7.1%.</w:t>
      </w:r>
    </w:p>
    <w:p>
      <w:pPr>
        <w:pStyle w:val="ListBullet"/>
      </w:pPr>
      <w:r>
        <w:t>G&amp;A / SG&amp;A.sga_reduction_from_restructuring: -10.0 → -3.0 — If management reinvests restructuring savings into store operations (Green Apron labor, technology, uplifts) rather than allowing them to flow to the bottom line, the SG&amp;A reduction could be only 3% rather than 10%. The Q2 call noted ongoing investment in the Green Apron service model and store uplifts ramping to 1,000+ stores by year-end — these are real cost commitments that could absorb the savings.</w:t>
      </w:r>
    </w:p>
    <w:p>
      <w:pPr>
        <w:pStyle w:val="ListBullet"/>
      </w:pPr>
      <w:r>
        <w:t>New Restaurant Openings.net_new_stores_global: 400 → 150 — Q2 FY2026 delivered only 11 net new coffeehouses, a dramatic slowdown from Q1's 128. If management maintains a highly disciplined approach to new openings (requiring strong AUV thresholds per Q4 FY2025 commentary) and the macro environment deteriorates, net new store growth could remain near zero for company-operated formats, limiting the unit growth contribution to revenue.</w:t>
      </w:r>
    </w:p>
    <w:p>
      <w:pPr>
        <w:pStyle w:val="SectionHeading"/>
      </w:pPr>
      <w:r>
        <w:t>3. Consensus Gap &amp; Valuation</w:t>
      </w:r>
    </w:p>
    <w:p>
      <w:r>
        <w:t>Our EPS: $2.50  =  baseline $2.38  +  Σ claim impacts $+0.12 (5.0% above consensus $2.38)</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$2.38</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$2.38 → $2.50 (Δ +12.0%)</w:t>
            </w:r>
          </w:p>
        </w:tc>
        <w:tc>
          <w:tcPr>
            <w:tcW w:type="dxa" w:w="2448"/>
            <w:tcBorders>
              <w:top w:val="single" w:sz="4" w:color="BDC3C7"/>
              <w:bottom w:val="single" w:sz="4" w:color="BDC3C7"/>
              <w:left w:val="single" w:sz="4" w:color="BDC3C7"/>
              <w:right w:val="single" w:sz="4" w:color="BDC3C7"/>
            </w:tcBorders>
          </w:tcPr>
          <w:p>
            <w:r>
              <w:t>Direct EPS delta: $+0.12/share</w:t>
            </w:r>
          </w:p>
        </w:tc>
        <w:tc>
          <w:tcPr>
            <w:tcW w:type="dxa" w:w="2448"/>
            <w:tcBorders>
              <w:top w:val="single" w:sz="4" w:color="BDC3C7"/>
              <w:bottom w:val="single" w:sz="4" w:color="BDC3C7"/>
              <w:left w:val="single" w:sz="4" w:color="BDC3C7"/>
              <w:right w:val="single" w:sz="4" w:color="BDC3C7"/>
            </w:tcBorders>
          </w:tcPr>
          <w:p>
            <w:r>
              <w:t>+0.12</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$37.6B → $36.5B (Δ $-1.1B)</w:t>
            </w:r>
          </w:p>
        </w:tc>
        <w:tc>
          <w:tcPr>
            <w:tcW w:type="dxa" w:w="2448"/>
            <w:tcBorders>
              <w:top w:val="single" w:sz="4" w:color="BDC3C7"/>
              <w:bottom w:val="single" w:sz="4" w:color="BDC3C7"/>
              <w:left w:val="single" w:sz="4" w:color="BDC3C7"/>
              <w:right w:val="single" w:sz="4" w:color="BDC3C7"/>
            </w:tcBorders>
          </w:tcPr>
          <w:p>
            <w:r>
              <w:t xml:space="preserve">(supporting view, not summed: same disagreement as 'consensus_fy_eps' through different metric lens) Revenue Δ $-1,115M </w:t>
            </w:r>
          </w:p>
        </w:tc>
        <w:tc>
          <w:tcPr>
            <w:tcW w:type="dxa" w:w="2448"/>
            <w:tcBorders>
              <w:top w:val="single" w:sz="4" w:color="BDC3C7"/>
              <w:bottom w:val="single" w:sz="4" w:color="BDC3C7"/>
              <w:left w:val="single" w:sz="4" w:color="BDC3C7"/>
              <w:right w:val="single" w:sz="4" w:color="BDC3C7"/>
            </w:tcBorders>
          </w:tcPr>
          <w:p>
            <w: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+0.12</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$2.50</w:t>
            </w:r>
          </w:p>
        </w:tc>
      </w:tr>
    </w:tbl>
    <w:p>
      <w:pPr>
        <w:pStyle w:val="PullQuote"/>
      </w:pPr>
      <w:r>
        <w:t xml:space="preserve">  ⚠ Mechanically-overlapping claim deduplicated: 'consensus_fy_revenue' overlaps with selected 'consensus_fy_eps'; only the more comprehensive claim is summed into our_eps.</w:t>
      </w:r>
    </w:p>
    <w:p>
      <w:pPr>
        <w:pStyle w:val="PullQuote"/>
      </w:pPr>
      <w:r>
        <w:t xml:space="preserve">  ⚠ 1 claim(s) target a different fiscal period than the current_fy baseline and weren't summed: consensus_next_fy_revenue</w:t>
      </w:r>
    </w:p>
    <w:p>
      <w:r>
        <w:t>Our estimate is $0.12 (5.0%) above consensus $2.38. Primary driver: New Restaurant Openings.net_new_stores_global (ours +240.0 vs street +0.4, contributing $-584.721 to EPS variant, evidence: moderate). Variant appears NOT fully priced in based on available market data. Next catalyst: Next quarterly earnings report (2026-07-28 (36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New Restaurant Openings.net_new_stores_global</w:t>
            </w:r>
          </w:p>
        </w:tc>
        <w:tc>
          <w:tcPr>
            <w:tcW w:type="dxa" w:w="1958"/>
            <w:tcBorders>
              <w:top w:val="single" w:sz="4" w:color="BDC3C7"/>
              <w:bottom w:val="single" w:sz="4" w:color="BDC3C7"/>
              <w:left w:val="single" w:sz="4" w:color="BDC3C7"/>
              <w:right w:val="single" w:sz="4" w:color="BDC3C7"/>
            </w:tcBorders>
          </w:tcPr>
          <w:p>
            <w:r>
              <w:t>+240.00</w:t>
            </w:r>
          </w:p>
        </w:tc>
        <w:tc>
          <w:tcPr>
            <w:tcW w:type="dxa" w:w="1958"/>
            <w:tcBorders>
              <w:top w:val="single" w:sz="4" w:color="BDC3C7"/>
              <w:bottom w:val="single" w:sz="4" w:color="BDC3C7"/>
              <w:left w:val="single" w:sz="4" w:color="BDC3C7"/>
              <w:right w:val="single" w:sz="4" w:color="BDC3C7"/>
            </w:tcBorders>
          </w:tcPr>
          <w:p>
            <w:r>
              <w:t>+0.38</w:t>
            </w:r>
          </w:p>
        </w:tc>
        <w:tc>
          <w:tcPr>
            <w:tcW w:type="dxa" w:w="1958"/>
            <w:tcBorders>
              <w:top w:val="single" w:sz="4" w:color="BDC3C7"/>
              <w:bottom w:val="single" w:sz="4" w:color="BDC3C7"/>
              <w:left w:val="single" w:sz="4" w:color="BDC3C7"/>
              <w:right w:val="single" w:sz="4" w:color="BDC3C7"/>
            </w:tcBorders>
          </w:tcPr>
          <w:p>
            <w:r>
              <w:t>-584.721</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US Same-Store Sales Growth.traffic_growth</w:t>
            </w:r>
          </w:p>
        </w:tc>
        <w:tc>
          <w:tcPr>
            <w:tcW w:type="dxa" w:w="1958"/>
            <w:tcBorders>
              <w:top w:val="single" w:sz="4" w:color="BDC3C7"/>
              <w:bottom w:val="single" w:sz="4" w:color="BDC3C7"/>
              <w:left w:val="single" w:sz="4" w:color="BDC3C7"/>
              <w:right w:val="single" w:sz="4" w:color="BDC3C7"/>
            </w:tcBorders>
          </w:tcPr>
          <w:p>
            <w:r>
              <w:t>+1.80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US Same-Store Sales Growth.ticket_growth</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Food Cost.commodity_and_labor_pressure</w:t>
            </w:r>
          </w:p>
        </w:tc>
        <w:tc>
          <w:tcPr>
            <w:tcW w:type="dxa" w:w="1958"/>
            <w:tcBorders>
              <w:top w:val="single" w:sz="4" w:color="BDC3C7"/>
              <w:bottom w:val="single" w:sz="4" w:color="BDC3C7"/>
              <w:left w:val="single" w:sz="4" w:color="BDC3C7"/>
              <w:right w:val="single" w:sz="4" w:color="BDC3C7"/>
            </w:tcBorders>
          </w:tcPr>
          <w:p>
            <w:r>
              <w:t>+30.00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Labor Cost.net_labor_cost_change</w:t>
            </w:r>
          </w:p>
        </w:tc>
        <w:tc>
          <w:tcPr>
            <w:tcW w:type="dxa" w:w="1958"/>
            <w:tcBorders>
              <w:top w:val="single" w:sz="4" w:color="BDC3C7"/>
              <w:bottom w:val="single" w:sz="4" w:color="BDC3C7"/>
              <w:left w:val="single" w:sz="4" w:color="BDC3C7"/>
              <w:right w:val="single" w:sz="4" w:color="BDC3C7"/>
            </w:tcBorders>
          </w:tcPr>
          <w:p>
            <w:r>
              <w:t>-20.00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Other Store Costs.occupancy_and_other</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G&amp;A / SG&amp;A.sga_reduction_from_restructuring</w:t>
            </w:r>
          </w:p>
        </w:tc>
        <w:tc>
          <w:tcPr>
            <w:tcW w:type="dxa" w:w="1958"/>
            <w:tcBorders>
              <w:top w:val="single" w:sz="4" w:color="BDC3C7"/>
              <w:bottom w:val="single" w:sz="4" w:color="BDC3C7"/>
              <w:left w:val="single" w:sz="4" w:color="BDC3C7"/>
              <w:right w:val="single" w:sz="4" w:color="BDC3C7"/>
            </w:tcBorders>
          </w:tcPr>
          <w:p>
            <w:r>
              <w:t>-6.00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Stock Compensation.stock_comp_growth</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0.40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(+5.0%) exceeds implied move (2.0%)</w:t>
      </w:r>
    </w:p>
    <w:p>
      <w:r>
        <w:t>Edge verdict: POSSIBLE_EDGE (score 0.057).</w:t>
      </w:r>
    </w:p>
    <w:p>
      <w:pPr>
        <w:pStyle w:val="SectionHeading"/>
      </w:pPr>
      <w:r>
        <w:t>4. Catalysts</w:t>
      </w:r>
    </w:p>
    <w:p>
      <w:pPr>
        <w:pStyle w:val="ListBullet"/>
      </w:pPr>
      <w:r>
        <w:t>Next quarterly earnings report (2026-07-28 (36 days)) — resolves revenue + margins + guidance; confirms or challenges</w:t>
      </w:r>
    </w:p>
    <w:p>
      <w:pPr>
        <w:pStyle w:val="ListBullet"/>
      </w:pPr>
      <w:r>
        <w:t>Resolution: The turnaround is durable and US comps will sustain 5%+ through FY2027 (Multi-year thesis -- patience required) — resolves US Same-Store Sales Growth; confirms or challenges</w:t>
      </w:r>
    </w:p>
    <w:p>
      <w:pPr>
        <w:pStyle w:val="ListBullet"/>
      </w:pPr>
      <w:r>
        <w:t>Resolution: China deconsolidation is margin-accretive and revenue-neutral on a royalty basis (Multi-year thesis -- patience required) — resolves US Same-Store Sales Growth; confirms or challenges</w:t>
      </w:r>
    </w:p>
    <w:p>
      <w:pPr>
        <w:pStyle w:val="ListBullet"/>
      </w:pPr>
      <w:r>
        <w:t>Resolution: Restructuring savings will flow through to EPS above consensus (Multi-year thesis -- patience required) — resolves G&amp;A / SG&amp;A; confirms or challenges</w:t>
      </w:r>
    </w:p>
    <w:p>
      <w:pPr>
        <w:pStyle w:val="ListBullet"/>
      </w:pPr>
      <w:r>
        <w:t>Explicit royalty rate and expected royalty revenue from the Boyu Capital China JV — management has n (Unknown timing) — resolves multiple; resolves uncertainty</w:t>
      </w:r>
    </w:p>
    <w:p>
      <w:pPr>
        <w:pStyle w:val="ListBullet"/>
      </w:pPr>
      <w:r>
        <w:t>Japan strategic review status — recent news (MSN, June 22) reports Starbucks is 'exploring Japan sta (Unknown timing) — resolves multiple; resolves uncertainty</w:t>
      </w:r>
    </w:p>
    <w:p>
      <w:pPr>
        <w:pStyle w:val="SectionHeading"/>
      </w:pPr>
      <w:r>
        <w:t>5. Risks, Blind Spots &amp; Kill Criteria</w:t>
      </w:r>
    </w:p>
    <w:p>
      <w:pPr>
        <w:pStyle w:val="SubHeading"/>
      </w:pPr>
      <w:r>
        <w:t>Top risks:</w:t>
      </w:r>
    </w:p>
    <w:p>
      <w:pPr>
        <w:pStyle w:val="ListBullet"/>
      </w:pPr>
      <w:r>
        <w:t>China deconsolidation is margin-accretive and revenue-neutral on a royalty basis — counter: Management has not disclosed the royalty rate or expected royalty revenue from the Boyu JV. The replacement of ~$700-800M/quarter of retail revenue with a royalty stream at even a generous 6-8% rate on system sales yields only ~$150-200M/quarter — a net revenue headwind of $500-650M/quarter that consensus appears to be undermodeling. The Q2 call CFO stated 'we will also cease our quarterly reporting on China standalone metrics,' reducing transparency. [serious]</w:t>
      </w:r>
    </w:p>
    <w:p>
      <w:pPr>
        <w:pStyle w:val="ListBullet"/>
      </w:pPr>
      <w:r>
        <w:t>The turnaround is durable and US comps will sustain 5%+ through FY2027 — counter: University of Michigan consumer sentiment was 49.8 in April 2026 (down 4.6% YoY), a historically low reading. Personal saving rate has collapsed to 2.6% (down 52.7% YoY), suggesting consumers are drawing down buffers. PPI is up 13.1% YoY. These macro signals historically precede discretionary spending softness with a 1-2 quarter lag. The Q2 FY2026 comp acceleration may represent peak momentum rather than a sustainable run-rate. [moderate]</w:t>
      </w:r>
    </w:p>
    <w:p>
      <w:pPr>
        <w:pStyle w:val="ListBullet2"/>
      </w:pPr>
      <w:r>
        <w:rPr>
          <w:i/>
        </w:rPr>
        <w:t>→ Research: SEC filings confirm tariffs and elevated coffee pricing compressed operating margins in 2026, with dairy hedging also documented. Starbucks explicitly flagged tariff exposure as ongoing macroeconomic challenge but did not isolate coffee/dairy tariff impact magnitude separately from restructuring savings offset. (sec.gov)</w:t>
      </w:r>
    </w:p>
    <w:p>
      <w:pPr>
        <w:pStyle w:val="ListBullet"/>
      </w:pPr>
      <w:r>
        <w:t>Restructuring savings will flow through to EPS above consensus — counter: Management's Q2 call noted 'the current macro environment brings heightened uncertainty to our operating landscape and consumer behavior more broadly' and that 'our comp guidance accounts for these considerations.' If management is investing restructuring savings back into store operations (labor, technology, uplifts) rather than allowing them to flow to the bottom line, the EPS tailwind is muted. The Q2 call also noted Green Apron service investment costs are ongoing. [moderate]</w:t>
      </w:r>
    </w:p>
    <w:p>
      <w:pPr>
        <w:pStyle w:val="KillCriteria"/>
      </w:pPr>
      <w:r>
        <w:t>What would change our mind: Print on New Restaurant Openings.net_new_stores_global comes in below our +240.0 figure (toward street +0.4) in the next 1-2 prints.</w:t>
      </w:r>
    </w:p>
    <w:p>
      <w:pPr>
        <w:pStyle w:val="SectionHeading"/>
      </w:pPr>
      <w:r>
        <w:t>Appendix</w:t>
      </w:r>
    </w:p>
    <w:p>
      <w:pPr>
        <w:pStyle w:val="SubHeading"/>
      </w:pPr>
      <w:r>
        <w:t>Evidence gaps (research TODO):</w:t>
      </w:r>
    </w:p>
    <w:p>
      <w:pPr>
        <w:pStyle w:val="ListBullet"/>
      </w:pPr>
      <w:r>
        <w:t>Explicit royalty rate and expected royalty revenue from the Boyu Capital China JV — management has not disclosed this, making the net revenue impact of deconsolidation difficult to model precisely</w:t>
      </w:r>
    </w:p>
    <w:p>
      <w:pPr>
        <w:pStyle w:val="ListBullet"/>
      </w:pPr>
      <w:r>
        <w:t>Japan strategic review status — recent news (MSN, June 22) reports Starbucks is 'exploring Japan stake sale,' but management has not addressed this publicly; if executed, it would be another material deconsolidation event</w:t>
      </w:r>
    </w:p>
    <w:p>
      <w:pPr>
        <w:pStyle w:val="ListBullet"/>
      </w:pPr>
      <w:r>
        <w:t>Quantified run-rate savings from the $2.0B May 2026 and $1.0B September 2025 restructuring charges — management has disclosed the charges but not the expected annualized cost savings or timeline</w:t>
      </w:r>
    </w:p>
    <w:p>
      <w:pPr>
        <w:pStyle w:val="ListBullet"/>
      </w:pPr>
      <w:r>
        <w:t>Artisanal bakery launch repeat-occasion data — management cited it as a ticket driver in Q2 but has not disclosed attach rates or repeat purchase frequency, making it difficult to assess durability</w:t>
      </w:r>
    </w:p>
    <w:p>
      <w:pPr>
        <w:pStyle w:val="ListBullet"/>
      </w:pPr>
      <w:r>
        <w:t>FY2027 management guidance — no formal guidance has been provided for FY2027; the next Investor Day or earnings call will be critical for anchoring the forward model</w:t>
      </w:r>
    </w:p>
    <w:p>
      <w:pPr>
        <w:pStyle w:val="ListBullet"/>
      </w:pPr>
      <w:r>
        <w:t>China JV royalty revenue recognition methodology — whether royalties are recognized on system sales or net sales, and the timing of recognition, affects the revenue bridge materially</w:t>
      </w:r>
    </w:p>
    <w:p>
      <w:pPr>
        <w:pStyle w:val="ListBullet"/>
      </w:pPr>
      <w:r>
        <w:t>Specific headcount reduction numbers from the $3.0B combined restructuring program — only the London/Hong Kong cuts (180 jobs) have been publicly disclosed; total headcount reduction is unknown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