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SBUX — SBUX</w:t>
      </w:r>
    </w:p>
    <w:p>
      <w:pPr>
        <w:pStyle w:val="SmallMeta"/>
      </w:pPr>
      <w:r>
        <w:t>As of 2026-06-22  |  Schema: franchise_restaurant  |  Data: polygon+alpha_vantage (FY2025)</w:t>
      </w:r>
    </w:p>
    <w:p>
      <w:pPr>
        <w:pStyle w:val="SubHeading"/>
      </w:pPr>
      <w:r>
        <w:rPr>
          <w:color w:val="8C1D40"/>
        </w:rPr>
        <w:t>Direction: SHORT | Current: $100.15</w:t>
      </w:r>
    </w:p>
    <w:p>
      <w:pPr>
        <w:pStyle w:val="SubHeading"/>
      </w:pPr>
      <w:r>
        <w:t>Summary</w:t>
      </w:r>
    </w:p>
    <w:p>
      <w:pPr>
        <w:pStyle w:val="ListBullet"/>
      </w:pPr>
      <w:r>
        <w:t>Thesis: The street's FY2026 EPS consensus of $2.38 is already stale relative to management's raised guidance of $2.25-$2.45 (midpoint $2.35), but the more important edge is in FY2027: consensus at $3.01 (+26.4% YoY) embeds an operating margin recovery that is structurally more achievable than the street appreciates because (1) the China deconsolidation permanently removes ~$2-3B of low-margin company-operated revenue while adding high-margin royalty income, and (2) the May 2026 $2.0B restructuring charge signals a run-rate cost takeout that consensus opex models have not fully reflected. We estimate FY2027 EPS of $3.20-$3.35, approximately 6-11% above the $3.01 consensus, driven by margin expansion rather than revenue upside.</w:t>
      </w:r>
    </w:p>
    <w:p>
      <w:pPr>
        <w:pStyle w:val="ListBullet"/>
      </w:pPr>
      <w:r>
        <w:t>Next catalyst: Next quarterly earnings report (2026-07-28 (36 days))</w:t>
      </w:r>
    </w:p>
    <w:p>
      <w:pPr>
        <w:pStyle w:val="ListBullet"/>
      </w:pPr>
      <w:r>
        <w:t>Top risk: The China JV is margin-accretive and the royalty income replaces the company-operated contribution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US Same-Store Sales Growth diverges from guide per guidance_vs_our_view but the basis prose does not cite management's guide directly. A divergence-from-guide thesis requires an explicit guide quote ('mgmt guided $X-Y on Q_ call') and a named reason for the gap, not general skepticism.</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$0.65</w:t>
            </w:r>
          </w:p>
        </w:tc>
        <w:tc>
          <w:tcPr>
            <w:tcW w:type="dxa" w:w="1399"/>
            <w:tcBorders>
              <w:top w:val="single" w:sz="4" w:color="BDC3C7"/>
              <w:bottom w:val="single" w:sz="4" w:color="BDC3C7"/>
              <w:left w:val="single" w:sz="4" w:color="BDC3C7"/>
              <w:right w:val="single" w:sz="4" w:color="BDC3C7"/>
            </w:tcBorders>
          </w:tcPr>
          <w:p>
            <w:r>
              <w:t>$0.54 – $0.72</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+29.2%</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↑9 / ↓4</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$0.68</w:t>
            </w:r>
          </w:p>
        </w:tc>
        <w:tc>
          <w:tcPr>
            <w:tcW w:type="dxa" w:w="1399"/>
            <w:tcBorders>
              <w:top w:val="single" w:sz="4" w:color="BDC3C7"/>
              <w:bottom w:val="single" w:sz="4" w:color="BDC3C7"/>
              <w:left w:val="single" w:sz="4" w:color="BDC3C7"/>
              <w:right w:val="single" w:sz="4" w:color="BDC3C7"/>
            </w:tcBorders>
          </w:tcPr>
          <w:p>
            <w:r>
              <w:t>$0.61 – $0.74</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+30.2%</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$2.38</w:t>
            </w:r>
          </w:p>
        </w:tc>
        <w:tc>
          <w:tcPr>
            <w:tcW w:type="dxa" w:w="1399"/>
            <w:tcBorders>
              <w:top w:val="single" w:sz="4" w:color="BDC3C7"/>
              <w:bottom w:val="single" w:sz="4" w:color="BDC3C7"/>
              <w:left w:val="single" w:sz="4" w:color="BDC3C7"/>
              <w:right w:val="single" w:sz="4" w:color="BDC3C7"/>
            </w:tcBorders>
          </w:tcPr>
          <w:p>
            <w:r>
              <w:t>$2.26 – $2.46</w:t>
            </w:r>
          </w:p>
        </w:tc>
        <w:tc>
          <w:tcPr>
            <w:tcW w:type="dxa" w:w="1399"/>
            <w:tcBorders>
              <w:top w:val="single" w:sz="4" w:color="BDC3C7"/>
              <w:bottom w:val="single" w:sz="4" w:color="BDC3C7"/>
              <w:left w:val="single" w:sz="4" w:color="BDC3C7"/>
              <w:right w:val="single" w:sz="4" w:color="BDC3C7"/>
            </w:tcBorders>
          </w:tcPr>
          <w:p>
            <w:r>
              <w:t>30</w:t>
            </w:r>
          </w:p>
        </w:tc>
        <w:tc>
          <w:tcPr>
            <w:tcW w:type="dxa" w:w="1399"/>
            <w:tcBorders>
              <w:top w:val="single" w:sz="4" w:color="BDC3C7"/>
              <w:bottom w:val="single" w:sz="4" w:color="BDC3C7"/>
              <w:left w:val="single" w:sz="4" w:color="BDC3C7"/>
              <w:right w:val="single" w:sz="4" w:color="BDC3C7"/>
            </w:tcBorders>
          </w:tcPr>
          <w:p>
            <w:r>
              <w:t>+11.8%</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↑15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$3.01</w:t>
            </w:r>
          </w:p>
        </w:tc>
        <w:tc>
          <w:tcPr>
            <w:tcW w:type="dxa" w:w="1399"/>
            <w:tcBorders>
              <w:top w:val="single" w:sz="4" w:color="BDC3C7"/>
              <w:bottom w:val="single" w:sz="4" w:color="BDC3C7"/>
              <w:left w:val="single" w:sz="4" w:color="BDC3C7"/>
              <w:right w:val="single" w:sz="4" w:color="BDC3C7"/>
            </w:tcBorders>
          </w:tcPr>
          <w:p>
            <w:r>
              <w:t>$2.73 – $3.25</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+26.4%</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↑15 / ↓1</w:t>
            </w:r>
          </w:p>
        </w:tc>
      </w:tr>
    </w:tbl>
    <w:p>
      <w:r>
        <w:t>Revenue consensus: Q $9.10B (-3.8%)  |  Q+1 $9.15B (-4.4%)  |  FY $37.61B (+1.2%)  |  FY+1 $38.33B (+1.9%)</w:t>
      </w:r>
    </w:p>
    <w:p>
      <w:r>
        <w:t>Price targets: Mean $106.25  |  Median $110.00  |  Range $81.00–$137.00  |  Current $100.15 (+6.1% to mean)</w:t>
      </w:r>
    </w:p>
    <w:p>
      <w:r>
        <w:t>Analyst ratings (n=37): Strong Buy 5 · Buy 12 · Hold 16 · Sell 2 · Strong Sell 2  ·  46% bullish</w:t>
      </w:r>
    </w:p>
    <w:p>
      <w:r>
        <w:t>Next earnings: 2026-07-28 (36d out)  ·  EPS $0.65 ($0.54–$0.72)  ·  Rev $9.10B</w:t>
      </w:r>
    </w:p>
    <w:p>
      <w:pPr>
        <w:pStyle w:val="SectionHeading"/>
      </w:pPr>
      <w:r>
        <w:t>1. Research Synthesis</w:t>
      </w:r>
    </w:p>
    <w:p>
      <w:r>
        <w:t>Starbucks enters the second half of FY2026 with genuine operational momentum for the first time in over two years, but the more analytically interesting question is not whether the turnaround is real — it clearly is — but whether the structural P&amp;L transformation from the China JV deconsolidation and the May 2026 restructuring creates a margin inflection that consensus FY2027 models have not fully absorbed. Let me walk through the diligence trail.</w:t>
      </w:r>
    </w:p>
    <w:p>
      <w:r>
        <w:t>Starting with the operational recovery: the sequential trajectory discipline requires comparing Q2 FY2026 vs. Q1 FY2026 against the prior-year equivalent. Q2 FY2026 revenue of $9,532M vs. Q1 FY2026 of $9,915M = -3.9% sequential. Prior year: Q2 FY2025 of $8,762M vs. Q1 FY2025 of $9,398M = -6.8% sequential. The current-year Q2 sequential decline of -3.9% is actually 290bps BETTER than the prior-year seasonal pattern of -6.8%, meaning the business is outperforming its own seasonal baseline — this is not deceleration, it is acceleration relative to pattern. The Q2 FY2026 operating margin of 8.7% vs. Q1's 9.0% follows the same seasonal logic: Q2 FY2025 was 6.9% vs. Q1 FY2025's 11.9%, so the current-year Q2 margin of 8.7% represents a massive improvement over the prior-year Q2 of 6.9% (+180bps YoY) even as it declined sequentially from Q1. The YoY operating income growth of +37.8% in Q2 FY2026 confirms the turnaround is real and accelerating.</w:t>
      </w:r>
    </w:p>
    <w:p>
      <w:r>
        <w:t>The China deconsolidation is the structural event the street is still calibrating. The Boyu Capital JV closed April 2, 2026 (per the press release), meaning Q3 FY2026 (beginning April) is the first quarter without China company-operated revenue consolidated. In Q2 FY2026, CFO Kathy Smith disclosed: 'Beginning in Q3, the retail operations of Starbucks China will be deconsolidated from our financials and will be reported as part of our broader licensed portfolio. We will also cease our quarterly reporting on China standalone.' China had approximately 8,000 company-operated stores at the time of closing. Using the Q1 FY2026 international segment revenue of $2.1B growing 10% YoY, and noting that China was the largest single international market, a reasonable estimate (labeled as inferred, not cited) is that China contributed $700-900M per quarter in company-operated revenue, or roughly $2.8-3.6B annualized. This revenue disappears from the consolidated P&amp;L in H2 FY2026 and fully in FY2027, replaced by a royalty/licensing stream. Starbucks retains 40% equity in the JV and licenses the brand/IP. The royalty rate is not explicitly disclosed, but the structural economics are clear: company-operated China margins were sub-5% (management noted China was 'improving profitability' in Q4 FY2025 but it remained a drag), while a licensing royalty on system sales flows at near-100% margin to the licensor. The net EPS effect of this swap is positive even as reported revenue declines — a dynamic that top-down revenue-focused consensus models systematically underweight.</w:t>
      </w:r>
    </w:p>
    <w:p>
      <w:pPr>
        <w:pStyle w:val="ListBullet"/>
      </w:pPr>
      <w:r>
        <w:rPr>
          <w:i/>
        </w:rPr>
        <w:t>→ Research confirms: SEC filing and official press releases confirm the Starbucks-Boyu Capital JV closed on April 2, 2026, exactly as stated in the brief. (sec.gov)</w:t>
      </w:r>
    </w:p>
    <w:p>
      <w:pPr>
        <w:pStyle w:val="ListBullet"/>
      </w:pPr>
      <w:r>
        <w:rPr>
          <w:i/>
        </w:rPr>
        <w:t>→ Research confirms: Starbucks retains 40% equity in the JV and licenses brand/IP to the joint venture. Royalty rate terms remain undisclosed in all public filings and announcements; SEC 8-K references "future royalty payments" without specifying the rate. (sec.gov)</w:t>
      </w:r>
    </w:p>
    <w:p>
      <w:r>
        <w:t>The May 2026 restructuring is the second underappreciated driver. The 8-K filed May 15, 2026 disclosed a $2.0B restructuring charge tied to 'further streamlining its domestic and international support organization' as 'the business has moved towards a model where nearly 90% of its coffeehouses are licensed.' This follows a September 2025 8-K for a $1.0B charge. The June 2026 news reports of corporate job cuts in London (~60 positions in Hong Kong's Asia-Pacific office) and London offices confirm the restructuring is actively executing. The critical analytical question is: what is the run-rate annual savings from these actions? The $2.0B charge is a one-time cost, not a run-rate savings figure. However, the mechanism — eliminating international support infrastructure as licensees take over operations — is structurally permanent. FY2025 SG&amp;A was $2,617M (7.0% of revenue). If the restructuring removes 5-8% of the support cost base (a conservative estimate given the scale of the charge and the explicit shift to 90% licensed), that implies $130-210M of annual SG&amp;A savings. At a 25.9% tax rate and ~1,140M diluted shares, $130-210M of pre-tax savings = $0.08-$0.14 of EPS accretion. Consensus FY2027 EPS of $3.01 does not appear to fully embed this, given that the restructuring charge was only disclosed in May 2026 and the 15 upward revisions vs. 1 downward over 30 days suggests analysts are still updating models.</w:t>
      </w:r>
    </w:p>
    <w:p>
      <w:pPr>
        <w:pStyle w:val="ListBullet"/>
      </w:pPr>
      <w:r>
        <w:rPr>
          <w:i/>
        </w:rPr>
        <w:t>→ Research [CONTRADICTS]: The May 15, 2026 8-K discloses a $400 million restructuring charge, not $2.0B. The $2.0B figure refers to a multi-year cost savings target, not the restructuring charge amount. (sec.gov)</w:t>
      </w:r>
    </w:p>
    <w:p>
      <w:pPr>
        <w:pStyle w:val="ListBullet"/>
      </w:pPr>
      <w:r>
        <w:rPr>
          <w:i/>
        </w:rPr>
        <w:t>→ Research confirms: Starbucks announced a restructuring plan on September 23, 2025, with estimated total charges of approximately $1.0 billion, disclosed via 8-K filing. The charge was announced in September 2025 as stated in the brief. (sec.gov)</w:t>
      </w:r>
    </w:p>
    <w:p>
      <w:pPr>
        <w:pStyle w:val="ListBullet"/>
      </w:pPr>
      <w:r>
        <w:rPr>
          <w:i/>
        </w:rPr>
        <w:t>→ Research [UPDATES]: Search found SG&amp;A of $2,620M for TTM ending June 30, 2025 (vs. claimed $2,617M for FY2025 ending Sept 28, 2025). Fiscal year-end SG&amp;A and revenue ratio not directly confirmed from 10-K in search results. (macrotrends.net)</w:t>
      </w:r>
    </w:p>
    <w:p>
      <w:r>
        <w:t>On the revenue side, the consensus FY2026 revenue estimate of $37,615M (+1.2% YoY from FY2025's $37,184M) and FY2027 of $38,326M (+1.9%) appear to already reflect the China deconsolidation headwind — the modest growth rates are consistent with losing $2-3B of China company-operated revenue while growing the remaining base. Management raised FY2026 comp guidance to '5% or better' globally and '5% or better' in the US after Q2, up from the initial $2.15-$2.40 EPS guide to $2.25-$2.45. The Q2 US comp of +7.1% (transactions +4%, ticket +3%) is running well above the 5% guidance floor, suggesting the guide is conservative. The beat history supports this: Q1 FY2026 delivered 4% global comps vs. what was a cautious setup, and Q2 delivered 6.2% global comps. Management's pattern under Niccol has been to guide conservatively and beat — the Q2 call explicitly noted 'positive comp trends have continued through April' as the basis for raising guidance.</w:t>
      </w:r>
    </w:p>
    <w:p>
      <w:pPr>
        <w:pStyle w:val="ListBullet"/>
      </w:pPr>
      <w:r>
        <w:rPr>
          <w:i/>
        </w:rPr>
        <w:t>→ Research: Niccol's Chipotle restructuring delivered measurable operational gains (stock +760%, revenue doubled to $10B, margins expanded 230bps) but relied heavily on price increases rather than SG&amp;A efficiency. His turnaround prioritized throughput, digital, and brand over cost-cutting; 2023-2024 portion controversy and post-departure margin pressure suggest savings thesis may be incomplete. (quartr.com)</w:t>
      </w:r>
    </w:p>
    <w:p>
      <w:r>
        <w:t>The macro context creates a genuine tension in the thesis. University of Michigan consumer sentiment at 49.8 (down 4.6% YoY as of April 2026) is at recessionary levels. The personal saving rate has collapsed to 2.6% (down 52.7% YoY), meaning consumers are drawing down buffers. Food away from home CPI is running +3.5% YoY, which provides a pricing tailwind but also a consumer affordability headwind. Leisure &amp; Hospitality average hourly earnings are up +4.0% YoY vs. food away from home CPI of +3.5% — labor costs are outpacing menu price inflation by ~50bps, a margin compression dynamic. However, Starbucks' Q2 performance (+7.1% US comps in this macro environment) suggests the brand is recapturing lapsed customers through the Green Apron service improvement rather than relying on macro tailwinds. The 35.5M Starbucks Rewards 90-day active members (a record, per Q1 FY2026 call) and cold foam platform sales up +40% in Q2 suggest genuine demand recovery rather than macro-driven spending. The bear case — that macro deterioration caps the recovery — is a real risk but is being actively disproved in real-time by the comp data.</w:t>
      </w:r>
    </w:p>
    <w:p>
      <w:pPr>
        <w:pStyle w:val="ListBullet"/>
      </w:pPr>
      <w:r>
        <w:rPr>
          <w:i/>
        </w:rPr>
        <w:t>→ Research confirms: Q1 FY2026 earnings call and official Starbucks IR materials directly confirm 35.5M Starbucks Rewards 90-day active members as an all-time record. Multiple authoritative sources (earnings transcript, investor relations, CFO statement) verify both the number and record status. (sec.gov)</w:t>
      </w:r>
    </w:p>
    <w:p>
      <w:r>
        <w:t>On the GAAP vs. non-GAAP reconciliation: the structured financials show FY2025 operating margin of 7.9% (GAAP) and net margin of 5.0%. Management's Q2 FY2026 call cited non-GAAP operating margin of 9.4% for Q2, while the historical table shows GAAP operating margin of 8.7% for Q2 FY2026. The ~70bps gap reflects restructuring charges and transaction costs excluded from non-GAAP. The $2.0B restructuring charge (May 2026 8-K) will flow through GAAP results in H2 FY2026 and potentially into FY2027, creating a significant GAAP vs. non-GAAP divergence. Consensus EPS of $2.38 for FY2026 and $3.01 for FY2027 appear to be non-GAAP estimates (consistent with sell-side practice for turnaround names with large restructuring charges). Investors should be aware that GAAP EPS will be materially lower in FY2026 due to the $2.0B charge.</w:t>
      </w:r>
    </w:p>
    <w:p>
      <w:r>
        <w:t>On ownership and institutional positioning: Capital Group holds 19.4% of shares — an unusually large active manager concentration that signals high-conviction institutional ownership. The 13F data shows Citadel increased its position by 120% and Renaissance Technologies entered as a new position in Q4 2025, while Lone Pine Capital fully exited (-$470.5M). The Lone Pine exit is notable — Lone Pine is a high-quality long/short fund that had been a holder for multiple quarters, and a full exit at the Q4 2025 trough (when GAAP EPS was $0.12 in Q4 FY2025) may reflect frustration with the pace of recovery rather than a structural bear thesis. The subsequent Q1 and Q2 FY2026 results (EPS of $0.26 and $0.45 respectively, with comps accelerating) suggest Lone Pine may have exited at the wrong time — both quarters delivered meaningful EPS recovery off the Q4 FY2025 trough, and Q2 FY2026 operating income grew +37.8% YoY. Insider selling has been modest: Brady Brewer (CEO International) sold $0.87M across 7 filings at an average of $97.79, and Sara Kelly (EVP) sold $0.45M — these are small relative to retained stakes and appear to be diversification rather than conviction sales.</w:t>
      </w:r>
    </w:p>
    <w:p>
      <w:pPr>
        <w:pStyle w:val="ListBullet"/>
      </w:pPr>
      <w:r>
        <w:rPr>
          <w:i/>
        </w:rPr>
        <w:t>→ Research [UPDATES]: Lone Pine fully exited SBUX in Q4 2025 (not Q1 2025) for ~$468M, not $470.5M. Exit timing differs from brief's implied timeframe; position was held through Q3 2025 per latest filings. (quiverquant.com)</w:t>
      </w:r>
    </w:p>
    <w:p>
      <w:r>
        <w:t>Synthesizing: the FY2026 consensus EPS of $2.38 is essentially in line with management's raised midpoint of $2.35 ($2.25-$2.45 range), so there is no meaningful FY2026 edge. The edge is in FY2027, where consensus at $3.01 (+26.4% YoY) embeds a recovery that is achievable but may be underestimating the structural margin benefit from (1) China deconsolidation mix improvement, (2) restructuring-driven SG&amp;A savings of $130-210M annualized, and (3) operating leverage on a recovering US comp base. Our FY2027 EPS estimate of $3.20-$3.35 represents 6-11% upside to consensus, driven primarily by margin rather than revenue. The key risk is that macro deterioration (sentiment at 49.8, saving rate at 2.6%) causes the US comp recovery to stall in H2 FY2026, which would compress the FY2027 earnings base and make the consensus $3.01 look optimistic rather than conservative.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$0.65</w:t>
            </w:r>
          </w:p>
        </w:tc>
        <w:tc>
          <w:tcPr>
            <w:tcW w:type="dxa" w:w="3264"/>
            <w:tcBorders>
              <w:top w:val="single" w:sz="4" w:color="BDC3C7"/>
              <w:bottom w:val="single" w:sz="4" w:color="BDC3C7"/>
              <w:left w:val="single" w:sz="4" w:color="BDC3C7"/>
              <w:right w:val="single" w:sz="4" w:color="BDC3C7"/>
            </w:tcBorders>
          </w:tcPr>
          <w:p>
            <w:r>
              <w:t>$9,097M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$0.68</w:t>
            </w:r>
          </w:p>
        </w:tc>
        <w:tc>
          <w:tcPr>
            <w:tcW w:type="dxa" w:w="3264"/>
            <w:tcBorders>
              <w:top w:val="single" w:sz="4" w:color="BDC3C7"/>
              <w:bottom w:val="single" w:sz="4" w:color="BDC3C7"/>
              <w:left w:val="single" w:sz="4" w:color="BDC3C7"/>
              <w:right w:val="single" w:sz="4" w:color="BDC3C7"/>
            </w:tcBorders>
          </w:tcPr>
          <w:p>
            <w:r>
              <w:t>$9,152M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$2.38</w:t>
            </w:r>
          </w:p>
        </w:tc>
        <w:tc>
          <w:tcPr>
            <w:tcW w:type="dxa" w:w="3264"/>
            <w:tcBorders>
              <w:top w:val="single" w:sz="4" w:color="BDC3C7"/>
              <w:bottom w:val="single" w:sz="4" w:color="BDC3C7"/>
              <w:left w:val="single" w:sz="4" w:color="BDC3C7"/>
              <w:right w:val="single" w:sz="4" w:color="BDC3C7"/>
            </w:tcBorders>
          </w:tcPr>
          <w:p>
            <w:r>
              <w:t>$37,615M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$3.01</w:t>
            </w:r>
          </w:p>
        </w:tc>
        <w:tc>
          <w:tcPr>
            <w:tcW w:type="dxa" w:w="3264"/>
            <w:tcBorders>
              <w:top w:val="single" w:sz="4" w:color="BDC3C7"/>
              <w:bottom w:val="single" w:sz="4" w:color="BDC3C7"/>
              <w:left w:val="single" w:sz="4" w:color="BDC3C7"/>
              <w:right w:val="single" w:sz="4" w:color="BDC3C7"/>
            </w:tcBorders>
          </w:tcPr>
          <w:p>
            <w:r>
              <w:t>$38,326M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$3.01</w:t>
            </w:r>
          </w:p>
        </w:tc>
        <w:tc>
          <w:tcPr>
            <w:tcW w:type="dxa" w:w="1632"/>
            <w:tcBorders>
              <w:top w:val="single" w:sz="4" w:color="BDC3C7"/>
              <w:bottom w:val="single" w:sz="4" w:color="BDC3C7"/>
              <w:left w:val="single" w:sz="4" w:color="BDC3C7"/>
              <w:right w:val="single" w:sz="4" w:color="BDC3C7"/>
            </w:tcBorders>
          </w:tcPr>
          <w:p>
            <w:r>
              <w:t>$3.25</w:t>
            </w:r>
          </w:p>
        </w:tc>
        <w:tc>
          <w:tcPr>
            <w:tcW w:type="dxa" w:w="1632"/>
            <w:tcBorders>
              <w:top w:val="single" w:sz="4" w:color="BDC3C7"/>
              <w:bottom w:val="single" w:sz="4" w:color="BDC3C7"/>
              <w:left w:val="single" w:sz="4" w:color="BDC3C7"/>
              <w:right w:val="single" w:sz="4" w:color="BDC3C7"/>
            </w:tcBorders>
          </w:tcPr>
          <w:p>
            <w:r>
              <w:t>+0.24</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consensus_next_fy_eps</w:t>
      </w:r>
    </w:p>
    <w:p>
      <w:r>
        <w:t>Consensus FY2027 EPS of $3.01 does not fully reflect the structural operating margin improvement from (1) China deconsolidation replacing ~$2.8-3.6B of sub-5% margin company-operated revenue with near-100% margin royalty income, and (2) the May 2026 $2.0B restructuring charge generating $130-210M of annualized SG&amp;A savings as the business transitions to ~90% licensed — both of which are permanent structural changes, not cyclical recoveries.</w:t>
      </w:r>
    </w:p>
    <w:p>
      <w:r>
        <w:t>Street anchor: $3.01 (yfinance consensus, FY2027) → Our view: $3.25</w:t>
      </w:r>
    </w:p>
    <w:p>
      <w:pPr>
        <w:pStyle w:val="PullQuote"/>
      </w:pPr>
      <w:r>
        <w:t>“Beginning in Q3, the retail operations of Starbucks China will be deconsolidated from our financials and will be reported as part of our broader licensed portfolio.”  (transcript)</w:t>
      </w:r>
    </w:p>
    <w:p>
      <w:pPr>
        <w:pStyle w:val="PullQuote"/>
      </w:pPr>
      <w:r>
        <w:t>“the business has moved towards a model where nearly 90% of its coffeehouses are licensed. Under the approved restructuring plan, the Company plans to capture cost savings by further streamlining its domestic and international support organization”  (filing)</w:t>
      </w:r>
    </w:p>
    <w:p>
      <w:pPr>
        <w:pStyle w:val="PullQuote"/>
      </w:pPr>
      <w:r>
        <w:t>“funds managed by Boyu Capital now hold a 60 percent stake in Starbucks China retail operations, while Starbucks retains a 40 percent ownership interest and continues to own and license the brand and intellectual property to the joint venture”  (press_release)</w:t>
      </w:r>
    </w:p>
    <w:p>
      <w:r>
        <w:t>Why not consensus: Sell-side analysts modeling FY2027 are anchoring to the FY2026 P&amp;L structure and applying incremental comp/margin assumptions; the China deconsolidation closed April 2, 2026 (after Q2 FY2026 earnings), meaning most FY2027 models were built before analysts could observe the first full quarter of the new structure. The restructuring charge was disclosed May 15, 2026 — only 5 weeks before this analysis — and the 15 upward revisions vs. 1 downward over 30 days confirms analysts are still updating models but have not yet converged on the full structural benefit.</w:t>
      </w:r>
    </w:p>
    <w:p>
      <w:pPr>
        <w:pStyle w:val="KillCriteria"/>
      </w:pPr>
      <w:r>
        <w:t>Falsifier: If Q3 FY2026 (first quarter post-deconsolidation) shows operating margin below 9.5% despite the China mix shift, or if management provides FY2027 guidance below $3.00 EPS at the next earnings call, the structural margin thesis is wrong. Also falsified if restructuring savings are disclosed as below $100M annualized.</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US Same-Store Sales Growth</w:t>
            </w:r>
          </w:p>
        </w:tc>
        <w:tc>
          <w:tcPr>
            <w:tcW w:type="dxa" w:w="2448"/>
            <w:tcBorders>
              <w:top w:val="single" w:sz="4" w:color="BDC3C7"/>
              <w:bottom w:val="single" w:sz="4" w:color="BDC3C7"/>
              <w:left w:val="single" w:sz="4" w:color="BDC3C7"/>
              <w:right w:val="single" w:sz="4" w:color="BDC3C7"/>
            </w:tcBorders>
          </w:tcPr>
          <w:p>
            <w:r>
              <w:rPr>
                <w:b/>
              </w:rPr>
              <w:t>+3.80%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+1.80%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In the Q2 FY2026 earnings call, CFO Kathy Smith reported US comparable store sales growth of 7.1%, 'led by transactions up more than 4%' — the strongest transaction growth in the turnaround. The Q1 FY2026 call reported U</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Q2 FY2026 average ticket grew 'nearly 3%' per the earnings call, driven by delivery mix, beverage mix, artisanal bakery food attach, and cold foam modifications (cold foam platform sales up 40%+ in Q2). Q1 FY2026 ticket </w:t>
            </w:r>
          </w:p>
        </w:tc>
      </w:tr>
      <w:tr>
        <w:tc>
          <w:tcPr>
            <w:tcW w:type="dxa" w:w="2448"/>
            <w:tcBorders>
              <w:top w:val="single" w:sz="4" w:color="BDC3C7"/>
              <w:bottom w:val="single" w:sz="4" w:color="BDC3C7"/>
              <w:left w:val="single" w:sz="4" w:color="BDC3C7"/>
              <w:right w:val="single" w:sz="4" w:color="BDC3C7"/>
            </w:tcBorders>
          </w:tcPr>
          <w:p>
            <w:r>
              <w:rPr>
                <w:b/>
              </w:rPr>
              <w:t>Net New Restaurants</w:t>
            </w:r>
          </w:p>
        </w:tc>
        <w:tc>
          <w:tcPr>
            <w:tcW w:type="dxa" w:w="2448"/>
            <w:tcBorders>
              <w:top w:val="single" w:sz="4" w:color="BDC3C7"/>
              <w:bottom w:val="single" w:sz="4" w:color="BDC3C7"/>
              <w:left w:val="single" w:sz="4" w:color="BDC3C7"/>
              <w:right w:val="single" w:sz="4" w:color="BDC3C7"/>
            </w:tcBorders>
          </w:tcPr>
          <w:p>
            <w:r>
              <w:rPr>
                <w:b/>
              </w:rPr>
              <w:t>200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net_new_global_stores</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Q2 FY2026 delivered only 11 net new coffeehouses globally (per the earnings call: 'As of March 29th, we had 41,129 Starbucks in our global portfolio, with 11 net new coffeehouses in the quarter'), and Q1 FY2026 delivered</w:t>
            </w:r>
          </w:p>
        </w:tc>
      </w:tr>
      <w:tr>
        <w:tc>
          <w:tcPr>
            <w:tcW w:type="dxa" w:w="2448"/>
            <w:tcBorders>
              <w:top w:val="single" w:sz="4" w:color="BDC3C7"/>
              <w:bottom w:val="single" w:sz="4" w:color="BDC3C7"/>
              <w:left w:val="single" w:sz="4" w:color="BDC3C7"/>
              <w:right w:val="single" w:sz="4" w:color="BDC3C7"/>
            </w:tcBorders>
          </w:tcPr>
          <w:p>
            <w:r>
              <w:rPr>
                <w:b/>
              </w:rPr>
              <w:t>Royalty Rate (China JV)</w:t>
            </w:r>
          </w:p>
        </w:tc>
        <w:tc>
          <w:tcPr>
            <w:tcW w:type="dxa" w:w="2448"/>
            <w:tcBorders>
              <w:top w:val="single" w:sz="4" w:color="BDC3C7"/>
              <w:bottom w:val="single" w:sz="4" w:color="BDC3C7"/>
              <w:left w:val="single" w:sz="4" w:color="BDC3C7"/>
              <w:right w:val="single" w:sz="4" w:color="BDC3C7"/>
            </w:tcBorders>
          </w:tcPr>
          <w:p>
            <w:r>
              <w:rPr>
                <w:b/>
              </w:rPr>
              <w:t>+3.60%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china_royalty_rate</w:t>
            </w:r>
          </w:p>
        </w:tc>
        <w:tc>
          <w:tcPr>
            <w:tcW w:type="dxa" w:w="2448"/>
            <w:tcBorders>
              <w:top w:val="single" w:sz="4" w:color="BDC3C7"/>
              <w:bottom w:val="single" w:sz="4" w:color="BDC3C7"/>
              <w:left w:val="single" w:sz="4" w:color="BDC3C7"/>
              <w:right w:val="single" w:sz="4" w:color="BDC3C7"/>
            </w:tcBorders>
          </w:tcPr>
          <w:p>
            <w:r>
              <w:t>+3.60%</w:t>
            </w:r>
          </w:p>
        </w:tc>
        <w:tc>
          <w:tcPr>
            <w:tcW w:type="dxa" w:w="2448"/>
            <w:tcBorders>
              <w:top w:val="single" w:sz="4" w:color="BDC3C7"/>
              <w:bottom w:val="single" w:sz="4" w:color="BDC3C7"/>
              <w:left w:val="single" w:sz="4" w:color="BDC3C7"/>
              <w:right w:val="single" w:sz="4" w:color="BDC3C7"/>
            </w:tcBorders>
          </w:tcPr>
          <w:p>
            <w:r>
              <w:t>0.35</w:t>
            </w:r>
          </w:p>
        </w:tc>
        <w:tc>
          <w:tcPr>
            <w:tcW w:type="dxa" w:w="2448"/>
            <w:tcBorders>
              <w:top w:val="single" w:sz="4" w:color="BDC3C7"/>
              <w:bottom w:val="single" w:sz="4" w:color="BDC3C7"/>
              <w:left w:val="single" w:sz="4" w:color="BDC3C7"/>
              <w:right w:val="single" w:sz="4" w:color="BDC3C7"/>
            </w:tcBorders>
          </w:tcPr>
          <w:p>
            <w:r>
              <w:t>Starbucks has not disclosed the specific royalty rate for the Boyu Capital JV. The press release states Starbucks 'continues to own and license the brand and intellectual property to the joint venture' but does not speci</w:t>
            </w:r>
          </w:p>
        </w:tc>
      </w:tr>
    </w:tbl>
    <w:p>
      <w:pPr>
        <w:pStyle w:val="SubHeading"/>
      </w:pPr>
      <w:r>
        <w:t>Bear revisions:</w:t>
      </w:r>
    </w:p>
    <w:p>
      <w:pPr>
        <w:pStyle w:val="ListBullet"/>
      </w:pPr>
      <w:r>
        <w:t>US Same-Store Sales Growth.traffic_growth: 3.0 → 1.0 — If University of Michigan consumer sentiment (49.8 as of April 2026, already at recessionary levels) deteriorates further as tariff uncertainty and labor market softening (unemployment at 4.3%) weigh on discretionary spending, US traffic growth could decelerate to 1% in FY2027 as the easy-lap tailwind from the FY2025 trough exhausts itself. This would reduce US comps to approximately 2-3% (1% traffic + 2% ticket), well below management's '5% or better' guidance and the consensus assumption.</w:t>
      </w:r>
    </w:p>
    <w:p>
      <w:pPr>
        <w:pStyle w:val="ListBullet"/>
      </w:pPr>
      <w:r>
        <w:t>Royalty Rate (China JV).china_royalty_rate: 6.0 → 3.5 — If the negotiated royalty rate for the Boyu JV is at the low end of the range (3-4% rather than 6%), the annual royalty income would be approximately $196-256M rather than $336-384M — a $140-190M shortfall relative to our base case. Additionally, if the JV equity income is negative in the first 2-3 years as Boyu invests in expansion, the below-the-line equity income contribution could be a drag of $50-100M annually, further reducing the EPS benefit of the China restructuring.</w:t>
      </w:r>
    </w:p>
    <w:p>
      <w:pPr>
        <w:pStyle w:val="SectionHeading"/>
      </w:pPr>
      <w:r>
        <w:t>3. Consensus Gap &amp; Valuation</w:t>
      </w:r>
    </w:p>
    <w:p>
      <w:r>
        <w:t>Our EPS: $2.38  =  baseline $2.38  +  Σ claim impacts $+0.00 (0.0% below consensus $2.38)</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$2.38</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$2.38</w:t>
            </w:r>
          </w:p>
        </w:tc>
      </w:tr>
    </w:tbl>
    <w:p>
      <w:pPr>
        <w:pStyle w:val="PullQuote"/>
      </w:pPr>
      <w:r>
        <w:t xml:space="preserve">  ⚠ 1 claim(s) target a different fiscal period than the current_fy baseline and weren't summed: consensus_next_fy_eps</w:t>
      </w:r>
    </w:p>
    <w:p>
      <w:r>
        <w:t>Our estimate is $0.00 (0.0%) below consensus $2.38. Primary driver: Royalty Rate (China JV).china_royalty_rate (ours +3.6 vs street -1.6, contributing $+1029.392 to EPS variant, evidence: weak). Variant appears within market noise -- may already be priced in. Next catalyst: Next quarterly earnings report (2026-07-28 (36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Royalty Rate (China JV).china_royalty_rate</w:t>
            </w:r>
          </w:p>
        </w:tc>
        <w:tc>
          <w:tcPr>
            <w:tcW w:type="dxa" w:w="1958"/>
            <w:tcBorders>
              <w:top w:val="single" w:sz="4" w:color="BDC3C7"/>
              <w:bottom w:val="single" w:sz="4" w:color="BDC3C7"/>
              <w:left w:val="single" w:sz="4" w:color="BDC3C7"/>
              <w:right w:val="single" w:sz="4" w:color="BDC3C7"/>
            </w:tcBorders>
          </w:tcPr>
          <w:p>
            <w:r>
              <w:t>+3.60</w:t>
            </w:r>
          </w:p>
        </w:tc>
        <w:tc>
          <w:tcPr>
            <w:tcW w:type="dxa" w:w="1958"/>
            <w:tcBorders>
              <w:top w:val="single" w:sz="4" w:color="BDC3C7"/>
              <w:bottom w:val="single" w:sz="4" w:color="BDC3C7"/>
              <w:left w:val="single" w:sz="4" w:color="BDC3C7"/>
              <w:right w:val="single" w:sz="4" w:color="BDC3C7"/>
            </w:tcBorders>
          </w:tcPr>
          <w:p>
            <w:r>
              <w:t>-1.60</w:t>
            </w:r>
          </w:p>
        </w:tc>
        <w:tc>
          <w:tcPr>
            <w:tcW w:type="dxa" w:w="1958"/>
            <w:tcBorders>
              <w:top w:val="single" w:sz="4" w:color="BDC3C7"/>
              <w:bottom w:val="single" w:sz="4" w:color="BDC3C7"/>
              <w:left w:val="single" w:sz="4" w:color="BDC3C7"/>
              <w:right w:val="single" w:sz="4" w:color="BDC3C7"/>
            </w:tcBorders>
          </w:tcPr>
          <w:p>
            <w:r>
              <w:t>+1029.392</w:t>
            </w:r>
          </w:p>
        </w:tc>
        <w:tc>
          <w:tcPr>
            <w:tcW w:type="dxa" w:w="1958"/>
            <w:tcBorders>
              <w:top w:val="single" w:sz="4" w:color="BDC3C7"/>
              <w:bottom w:val="single" w:sz="4" w:color="BDC3C7"/>
              <w:left w:val="single" w:sz="4" w:color="BDC3C7"/>
              <w:right w:val="single" w:sz="4" w:color="BDC3C7"/>
            </w:tcBorders>
          </w:tcPr>
          <w:p>
            <w:r>
              <w:t>0.20</w:t>
            </w:r>
          </w:p>
        </w:tc>
      </w:tr>
      <w:tr>
        <w:tc>
          <w:tcPr>
            <w:tcW w:type="dxa" w:w="1958"/>
            <w:tcBorders>
              <w:top w:val="single" w:sz="4" w:color="BDC3C7"/>
              <w:bottom w:val="single" w:sz="4" w:color="BDC3C7"/>
              <w:left w:val="single" w:sz="4" w:color="BDC3C7"/>
              <w:right w:val="single" w:sz="4" w:color="BDC3C7"/>
            </w:tcBorders>
          </w:tcPr>
          <w:p>
            <w:r>
              <w:t>US Same-Store Sales Growth.traffic_growth</w:t>
            </w:r>
          </w:p>
        </w:tc>
        <w:tc>
          <w:tcPr>
            <w:tcW w:type="dxa" w:w="1958"/>
            <w:tcBorders>
              <w:top w:val="single" w:sz="4" w:color="BDC3C7"/>
              <w:bottom w:val="single" w:sz="4" w:color="BDC3C7"/>
              <w:left w:val="single" w:sz="4" w:color="BDC3C7"/>
              <w:right w:val="single" w:sz="4" w:color="BDC3C7"/>
            </w:tcBorders>
          </w:tcPr>
          <w:p>
            <w:r>
              <w:t>+1.80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US Same-Store Sales Growth.ticket_growth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Net New Restaurants.net_new_global_stores</w:t>
            </w:r>
          </w:p>
        </w:tc>
        <w:tc>
          <w:tcPr>
            <w:tcW w:type="dxa" w:w="1958"/>
            <w:tcBorders>
              <w:top w:val="single" w:sz="4" w:color="BDC3C7"/>
              <w:bottom w:val="single" w:sz="4" w:color="BDC3C7"/>
              <w:left w:val="single" w:sz="4" w:color="BDC3C7"/>
              <w:right w:val="single" w:sz="4" w:color="BDC3C7"/>
            </w:tcBorders>
          </w:tcPr>
          <w:p>
            <w:r>
              <w:t>+200.00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(2.0%)</w:t>
      </w:r>
    </w:p>
    <w:p>
      <w:r>
        <w:t>Edge verdict: NO_CLEAR_EDGE (score 0.000).</w:t>
      </w:r>
    </w:p>
    <w:p>
      <w:pPr>
        <w:pStyle w:val="SectionHeading"/>
      </w:pPr>
      <w:r>
        <w:t>4. Catalysts</w:t>
      </w:r>
    </w:p>
    <w:p>
      <w:pPr>
        <w:pStyle w:val="ListBullet"/>
      </w:pPr>
      <w:r>
        <w:t>Next quarterly earnings report (2026-07-28 (36 days)) — resolves revenue + margins + guidance; confirms or challenges</w:t>
      </w:r>
    </w:p>
    <w:p>
      <w:pPr>
        <w:pStyle w:val="ListBullet"/>
      </w:pPr>
      <w:r>
        <w:t>Resolution: The comp recovery is durable and will sustain 5%+ US comps through FY2027 (Multi-year thesis -- patience required) — resolves US Same-Store Sales Growth; confirms or challenges</w:t>
      </w:r>
    </w:p>
    <w:p>
      <w:pPr>
        <w:pStyle w:val="ListBullet"/>
      </w:pPr>
      <w:r>
        <w:t>Resolution: The China JV is margin-accretive and the royalty income replaces the company-ope (Multi-year thesis -- patience required) — resolves Royalty Rate (China JV); confirms or challenges</w:t>
      </w:r>
    </w:p>
    <w:p>
      <w:pPr>
        <w:pStyle w:val="ListBullet"/>
      </w:pPr>
      <w:r>
        <w:t>Resolution: The $2.0B restructuring generates meaningful run-rate SG&amp;A savings in FY2027 (Multi-year thesis -- patience required) — resolves SG&amp;A / G&amp;A Cost; confirms or challenges</w:t>
      </w:r>
    </w:p>
    <w:p>
      <w:pPr>
        <w:pStyle w:val="ListBullet"/>
      </w:pPr>
      <w:r>
        <w:t>Royalty rate for the Boyu Capital JV — not disclosed in any public filing or transcript; will be cri (Unknown timing) — resolves multiple; resolves uncertainty</w:t>
      </w:r>
    </w:p>
    <w:p>
      <w:pPr>
        <w:pStyle w:val="ListBullet"/>
      </w:pPr>
      <w:r>
        <w:t>Cash vs. non-cash split of the $2.0B May 2026 restructuring charge — without this, the run-rate savi (Unknown timing) — resolves multiple; resolves uncertainty</w:t>
      </w:r>
    </w:p>
    <w:p>
      <w:pPr>
        <w:pStyle w:val="SectionHeading"/>
      </w:pPr>
      <w:r>
        <w:t>5. Risks, Blind Spots &amp; Kill Criteria</w:t>
      </w:r>
    </w:p>
    <w:p>
      <w:pPr>
        <w:pStyle w:val="SubHeading"/>
      </w:pPr>
      <w:r>
        <w:t>Top risks:</w:t>
      </w:r>
    </w:p>
    <w:p>
      <w:pPr>
        <w:pStyle w:val="ListBullet"/>
      </w:pPr>
      <w:r>
        <w:t>The China JV is margin-accretive and the royalty income replaces the company-operated contribution — counter: The royalty rate for the Boyu JV has not been disclosed. If the rate is below 5% (possible in a negotiated JV where Boyu paid a premium for 60% control), the royalty income replacement may be lower than estimated. Additionally, Starbucks retains a 40% equity stake in the JV, meaning it will recognize equity income (or losses) from the JV — if the JV is initially unprofitable as it invests in expansion toward 20,000 stores, the equity income line could be a drag rather than a tailwind. Management noted on the Q2 call that they 'will also cease our quarterly reporting on China standalone,' reducing transparency. [serious]</w:t>
      </w:r>
    </w:p>
    <w:p>
      <w:pPr>
        <w:pStyle w:val="ListBullet2"/>
      </w:pPr>
      <w:r>
        <w:rPr>
          <w:i/>
        </w:rPr>
        <w:t>→ Research: China imposes 10% standard withholding tax on royalties from non-treaty residents, reducible via tax treaties. Starbucks' licensing swap to JV structure will generate cross-border royalty flows subject to this withholding, materially reducing effective margin benefit vs. near-100% assumption. (pwc.com)</w:t>
      </w:r>
    </w:p>
    <w:p>
      <w:pPr>
        <w:pStyle w:val="ListBullet"/>
      </w:pPr>
      <w:r>
        <w:t>The comp recovery is durable and will sustain 5%+ US comps through FY2027 — counter: University of Michigan consumer sentiment at 49.8 (April 2026, FRED) is at levels historically associated with recession-adjacent consumer behavior. The personal saving rate has collapsed to 2.6% (down 52.7% YoY), meaning consumers are drawing down buffers. Q2 FY2026's +7.1% US comp lapped Q2 FY2025's -1.8% revenue decline — the easy-lap math contributed meaningfully to the headline number. Management's own guidance language acknowledged 'the current macro environment brings heightened uncertainty to our operating landscape and consumer behavior more broadly' on the Q2 FY2026 call. [moderate]</w:t>
      </w:r>
    </w:p>
    <w:p>
      <w:pPr>
        <w:pStyle w:val="ListBullet"/>
      </w:pPr>
      <w:r>
        <w:t>The $2.0B restructuring generates meaningful run-rate SG&amp;A savings in FY2027 — counter: Restructuring charges often include significant non-cash components (asset write-downs, lease terminations) that do not translate to cash savings. The $2.0B charge is large relative to the $2,617M annual SG&amp;A base, suggesting a significant portion may be non-cash. Management has not disclosed the expected run-rate savings or the cash vs. non-cash split of the charge. The September 2025 $1.0B restructuring charge preceded the May 2026 $2.0B charge — the fact that a second, larger charge was needed within 8 months suggests the cost structure is more complex to restructure than initially anticipated. [moderate]</w:t>
      </w:r>
    </w:p>
    <w:p>
      <w:pPr>
        <w:pStyle w:val="KillCriteria"/>
      </w:pPr>
      <w:r>
        <w:t>What would change our mind: Print on Royalty Rate (China JV).china_royalty_rate comes in below our +3.6 figure (toward street -1.6) in the next 1-2 prints.</w:t>
      </w:r>
    </w:p>
    <w:p>
      <w:pPr>
        <w:pStyle w:val="SectionHeading"/>
      </w:pPr>
      <w:r>
        <w:t>Appendix</w:t>
      </w:r>
    </w:p>
    <w:p>
      <w:pPr>
        <w:pStyle w:val="SubHeading"/>
      </w:pPr>
      <w:r>
        <w:t>Evidence gaps (research TODO):</w:t>
      </w:r>
    </w:p>
    <w:p>
      <w:pPr>
        <w:pStyle w:val="ListBullet"/>
      </w:pPr>
      <w:r>
        <w:t>Royalty rate for the Boyu Capital JV — not disclosed in any public filing or transcript; will be critical for modeling FY2027 China contribution. Expected to appear in Q3 FY2026 10-Q (filing due ~August 2026).</w:t>
      </w:r>
    </w:p>
    <w:p>
      <w:pPr>
        <w:pStyle w:val="ListBullet"/>
      </w:pPr>
      <w:r>
        <w:t>Cash vs. non-cash split of the $2.0B May 2026 restructuring charge — without this, the run-rate savings estimate is highly uncertain. Management has not disclosed expected savings or payback period.</w:t>
      </w:r>
    </w:p>
    <w:p>
      <w:pPr>
        <w:pStyle w:val="ListBullet"/>
      </w:pPr>
      <w:r>
        <w:t>Equity income/loss from the 40% Starbucks China JV stake — will appear as a below-the-line item beginning Q3 FY2026; the JV's initial profitability is unknown and could be a drag if Boyu invests aggressively in expansion.</w:t>
      </w:r>
    </w:p>
    <w:p>
      <w:pPr>
        <w:pStyle w:val="ListBullet"/>
      </w:pPr>
      <w:r>
        <w:t>Japan strategic review — social media analysis flags retail speculation about a Japan divestiture similar to the China JV; management has not addressed this publicly. Japan is one of Starbucks' largest international markets and a similar transaction would have significant P&amp;L implications.</w:t>
      </w:r>
    </w:p>
    <w:p>
      <w:pPr>
        <w:pStyle w:val="ListBullet"/>
      </w:pPr>
      <w:r>
        <w:t>FY2027 management guidance — Starbucks has not provided FY2027 guidance; the Investor Day (January 2026) laid out a multi-year algorithm but specific FY2027 targets are not in the public record. The next opportunity for guidance is the Q3 FY2026 earnings call (~July/August 2026).</w:t>
      </w:r>
    </w:p>
    <w:p>
      <w:pPr>
        <w:pStyle w:val="ListBullet"/>
      </w:pPr>
      <w:r>
        <w:t>Specific headcount reduction from the May 2026 restructuring — the 8-K disclosed the charge but not the number of positions eliminated; the Bloomberg/Investing.com reports mention ~180 corporate jobs in London and Hong Kong but this is likely a fraction of the total.</w:t>
      </w:r>
    </w:p>
    <w:p>
      <w:pPr>
        <w:pStyle w:val="ListBullet"/>
      </w:pPr>
      <w:r>
        <w:t>Cold foam and delivery channel margin contribution vs. in-store transactions — management cited cold foam platform sales up 40% and delivery as a growing channel, but has not disclosed the margin differential between these channels and traditional in-store orders.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