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TMDX — TMDX</w:t>
      </w:r>
    </w:p>
    <w:p>
      <w:pPr>
        <w:pStyle w:val="SmallMeta"/>
      </w:pPr>
      <w:r>
        <w:t>As of 2026-04-28  |  Schema: general  |  Data: polygon+alpha_vantage (FY2025)</w:t>
      </w:r>
    </w:p>
    <w:p>
      <w:pPr>
        <w:pStyle w:val="SubHeading"/>
      </w:pPr>
      <w:r>
        <w:rPr>
          <w:color w:val="8C1D40"/>
        </w:rPr>
        <w:t>Current: $101.26</w:t>
      </w:r>
    </w:p>
    <w:p>
      <w:pPr>
        <w:pStyle w:val="SubHeading"/>
      </w:pPr>
      <w:r>
        <w:t>Summary</w:t>
      </w:r>
    </w:p>
    <w:p>
      <w:pPr>
        <w:pStyle w:val="ListBullet"/>
      </w:pPr>
      <w:r>
        <w:t>Thesis: No clear edge identified -- estimate is close to consensus range.</w:t>
      </w:r>
    </w:p>
    <w:p>
      <w:pPr>
        <w:pStyle w:val="ListBullet"/>
      </w:pPr>
      <w:r>
        <w:t>Next catalyst: Next quarterly earnings report (2026-05-05 (7 days))</w:t>
      </w:r>
    </w:p>
    <w:p>
      <w:pPr>
        <w:pStyle w:val="ListBullet"/>
      </w:pPr>
      <w:r>
        <w:t>Top risk: Analyst focuses on 250bps operating margin compression from international expansion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1 finding(s) — cited→inferred: 1</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$0.61</w:t>
            </w:r>
          </w:p>
        </w:tc>
        <w:tc>
          <w:tcPr>
            <w:tcW w:type="dxa" w:w="1399"/>
            <w:tcBorders>
              <w:top w:val="single" w:sz="4" w:color="BDC3C7"/>
              <w:bottom w:val="single" w:sz="4" w:color="BDC3C7"/>
              <w:left w:val="single" w:sz="4" w:color="BDC3C7"/>
              <w:right w:val="single" w:sz="4" w:color="BDC3C7"/>
            </w:tcBorders>
          </w:tcPr>
          <w:p>
            <w:r>
              <w:t>$0.45 – $0.82</w:t>
            </w:r>
          </w:p>
        </w:tc>
        <w:tc>
          <w:tcPr>
            <w:tcW w:type="dxa" w:w="1399"/>
            <w:tcBorders>
              <w:top w:val="single" w:sz="4" w:color="BDC3C7"/>
              <w:bottom w:val="single" w:sz="4" w:color="BDC3C7"/>
              <w:left w:val="single" w:sz="4" w:color="BDC3C7"/>
              <w:right w:val="single" w:sz="4" w:color="BDC3C7"/>
            </w:tcBorders>
          </w:tcPr>
          <w:p>
            <w:r>
              <w:t>8</w:t>
            </w:r>
          </w:p>
        </w:tc>
        <w:tc>
          <w:tcPr>
            <w:tcW w:type="dxa" w:w="1399"/>
            <w:tcBorders>
              <w:top w:val="single" w:sz="4" w:color="BDC3C7"/>
              <w:bottom w:val="single" w:sz="4" w:color="BDC3C7"/>
              <w:left w:val="single" w:sz="4" w:color="BDC3C7"/>
              <w:right w:val="single" w:sz="4" w:color="BDC3C7"/>
            </w:tcBorders>
          </w:tcPr>
          <w:p>
            <w:r>
              <w:t>-12.7%</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↑2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$0.56 – $0.93</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-18.9%</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$2.46</w:t>
            </w:r>
          </w:p>
        </w:tc>
        <w:tc>
          <w:tcPr>
            <w:tcW w:type="dxa" w:w="1399"/>
            <w:tcBorders>
              <w:top w:val="single" w:sz="4" w:color="BDC3C7"/>
              <w:bottom w:val="single" w:sz="4" w:color="BDC3C7"/>
              <w:left w:val="single" w:sz="4" w:color="BDC3C7"/>
              <w:right w:val="single" w:sz="4" w:color="BDC3C7"/>
            </w:tcBorders>
          </w:tcPr>
          <w:p>
            <w:r>
              <w:t>$2.08 – $2.87</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-6.4%</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$3.68</w:t>
            </w:r>
          </w:p>
        </w:tc>
        <w:tc>
          <w:tcPr>
            <w:tcW w:type="dxa" w:w="1399"/>
            <w:tcBorders>
              <w:top w:val="single" w:sz="4" w:color="BDC3C7"/>
              <w:bottom w:val="single" w:sz="4" w:color="BDC3C7"/>
              <w:left w:val="single" w:sz="4" w:color="BDC3C7"/>
              <w:right w:val="single" w:sz="4" w:color="BDC3C7"/>
            </w:tcBorders>
          </w:tcPr>
          <w:p>
            <w:r>
              <w:t>$3.01 – $4.19</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+49.9%</w:t>
            </w:r>
          </w:p>
        </w:tc>
        <w:tc>
          <w:tcPr>
            <w:tcW w:type="dxa" w:w="1399"/>
            <w:tcBorders>
              <w:top w:val="single" w:sz="4" w:color="BDC3C7"/>
              <w:bottom w:val="single" w:sz="4" w:color="BDC3C7"/>
              <w:left w:val="single" w:sz="4" w:color="BDC3C7"/>
              <w:right w:val="single" w:sz="4" w:color="BDC3C7"/>
            </w:tcBorders>
          </w:tcPr>
          <w:p>
            <w:r>
              <w:t>↓ -0.024</w:t>
            </w:r>
          </w:p>
        </w:tc>
        <w:tc>
          <w:tcPr>
            <w:tcW w:type="dxa" w:w="1399"/>
            <w:tcBorders>
              <w:top w:val="single" w:sz="4" w:color="BDC3C7"/>
              <w:bottom w:val="single" w:sz="4" w:color="BDC3C7"/>
              <w:left w:val="single" w:sz="4" w:color="BDC3C7"/>
              <w:right w:val="single" w:sz="4" w:color="BDC3C7"/>
            </w:tcBorders>
          </w:tcPr>
          <w:p>
            <w:r>
              <w:t>↑1 / ↓3</w:t>
            </w:r>
          </w:p>
        </w:tc>
      </w:tr>
    </w:tbl>
    <w:p>
      <w:r>
        <w:t>Revenue consensus: Q $0.17B (+21.3%)  |  Q+1 $0.19B (+20.2%)  |  FY $0.74B (+22.1%)  |  FY+1 $0.88B (+18.6%)</w:t>
      </w:r>
    </w:p>
    <w:p>
      <w:r>
        <w:t>Price targets: Mean $156.00  |  Median $156.00  |  Range $118.00–$190.00  |  Current $101.26 (+54.1% to mean)</w:t>
      </w:r>
    </w:p>
    <w:p>
      <w:r>
        <w:t>Analyst ratings (n=11): Strong Buy 2 · Buy 7 · Hold 2 · Sell 0 · Strong Sell 0  ·  82% bullish</w:t>
      </w:r>
    </w:p>
    <w:p>
      <w:r>
        <w:t>Next earnings: 2026-05-05 (7d out)  ·  EPS $0.61 ($0.45–$0.82)  ·  Rev $0.17B</w:t>
      </w:r>
    </w:p>
    <w:p>
      <w:pPr>
        <w:pStyle w:val="SectionHeading"/>
      </w:pPr>
      <w:r>
        <w:t>1. Edge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$0.61</w:t>
            </w:r>
          </w:p>
        </w:tc>
        <w:tc>
          <w:tcPr>
            <w:tcW w:type="dxa" w:w="3264"/>
            <w:tcBorders>
              <w:top w:val="single" w:sz="4" w:color="BDC3C7"/>
              <w:bottom w:val="single" w:sz="4" w:color="BDC3C7"/>
              <w:left w:val="single" w:sz="4" w:color="BDC3C7"/>
              <w:right w:val="single" w:sz="4" w:color="BDC3C7"/>
            </w:tcBorders>
          </w:tcPr>
          <w:p>
            <w:r>
              <w:t>$174M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$189M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$2.46</w:t>
            </w:r>
          </w:p>
        </w:tc>
        <w:tc>
          <w:tcPr>
            <w:tcW w:type="dxa" w:w="3264"/>
            <w:tcBorders>
              <w:top w:val="single" w:sz="4" w:color="BDC3C7"/>
              <w:bottom w:val="single" w:sz="4" w:color="BDC3C7"/>
              <w:left w:val="single" w:sz="4" w:color="BDC3C7"/>
              <w:right w:val="single" w:sz="4" w:color="BDC3C7"/>
            </w:tcBorders>
          </w:tcPr>
          <w:p>
            <w:r>
              <w:t>$739M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$3.68</w:t>
            </w:r>
          </w:p>
        </w:tc>
        <w:tc>
          <w:tcPr>
            <w:tcW w:type="dxa" w:w="3264"/>
            <w:tcBorders>
              <w:top w:val="single" w:sz="4" w:color="BDC3C7"/>
              <w:bottom w:val="single" w:sz="4" w:color="BDC3C7"/>
              <w:left w:val="single" w:sz="4" w:color="BDC3C7"/>
              <w:right w:val="single" w:sz="4" w:color="BDC3C7"/>
            </w:tcBorders>
          </w:tcPr>
          <w:p>
            <w:r>
              <w:t>$876M</w:t>
            </w:r>
          </w:p>
        </w:tc>
      </w:tr>
    </w:tbl>
    <w:p>
      <w:pPr>
        <w:pStyle w:val="SubHeading"/>
      </w:pPr>
      <w:r>
        <w:t>Management guidance:</w:t>
      </w:r>
    </w:p>
    <w:p>
      <w:pPr>
        <w:pStyle w:val="ListBullet"/>
      </w:pPr>
      <w:r>
        <w:t>Revenue (FY2026): $727 million to $757 million  — Q4 2025, call, CFO</w:t>
      </w:r>
    </w:p>
    <w:p>
      <w:pPr>
        <w:pStyle w:val="ListBullet"/>
      </w:pPr>
      <w:r>
        <w:t>Operating Margin (FY2026): up to approximately 250 basis points below 2025 full-year levels  — Q4 2025, call, CFO</w:t>
      </w:r>
    </w:p>
    <w:p>
      <w:pPr>
        <w:pStyle w:val="ListBullet"/>
      </w:pPr>
      <w:r>
        <w:t>Operating Margin (long-term): approach 30% by 2028  — Q4 2025, call, CFO</w:t>
      </w:r>
    </w:p>
    <w:p>
      <w:pPr>
        <w:pStyle w:val="PullQuote"/>
      </w:pPr>
      <w:r>
        <w:t>No structured edge identified — our estimate is within consensus range or no claim passed the public-data discipline.</w:t>
      </w:r>
    </w:p>
    <w:p>
      <w:r>
        <w:t>No clear edge identified -- estimate is close to consensus range.</w:t>
      </w:r>
    </w:p>
    <w:p>
      <w:r>
        <w:t>The debate: Street expects 18.6% revenue growth in FY2026 vs management's 20-25% guide, while operating margins face 250bps compression from international expansion investments. Clinical trial contribution timing and European expansion costs remain uncertain.</w:t>
      </w:r>
    </w:p>
    <w:p>
      <w:pPr>
        <w:pStyle w:val="PullQuote"/>
      </w:pPr>
      <w:r>
        <w:t>Counter: the analyst claims Analyst admits 'no clear edge identified' and estimates are 'close to consensus range' — but If there's no informational edge and the estimate aligns with consensus, this is by definition a coin-flip trade with no expected alpha. The analyst is essentially recommending a momentum play on a high-multiple medical device stock without any differentiated insight.</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+18.00%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core_growth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Management guided FY2026 revenue of $727-757M on the Q4 2025 call, representing 20-25% growth over FY2025's $605.5M. CFO stated growth would be 'driven primarily by increased oil utilization, continued OCS adoption, and  [auto-downgraded: citation text not found in corpus: 'Q4 2025 call CFO: 'We anticipate revenue growth of 20 to 25% over the full year ...']</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revenue_growth.core_growth: 22.0 → 18.0 — International expansion costs could pressure growth if European logistics buildout faces delays or higher-than-expected investment requirements. Management's refusal to quantify European capex in Q3 suggests uncertainty around execution timeline.</w:t>
      </w:r>
    </w:p>
    <w:p>
      <w:pPr>
        <w:pStyle w:val="PullQuote"/>
      </w:pPr>
      <w:r>
        <w:t>Counter: the analyst claims Revenue growth assumptions focus on technology adoption and expansion — but The fundamental constraint is donor organ supply, not technology adoption. TransMedics can't grow faster than the rate of available organs, regardless of how good their preservation technology becomes. This is a supply-constrained market with regulatory and biological limits.</w:t>
      </w:r>
    </w:p>
    <w:p>
      <w:pPr>
        <w:pStyle w:val="SectionHeading"/>
      </w:pPr>
      <w:r>
        <w:t>3. Consensus Gap &amp; Valuation</w:t>
      </w:r>
    </w:p>
    <w:p>
      <w:r>
        <w:t>Our EPS: $2.46  =  baseline $2.46  +  Σ claim impacts $+0.00 (0.0% below consensus $2.46)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$2.46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$2.46</w:t>
            </w:r>
          </w:p>
        </w:tc>
      </w:tr>
    </w:tbl>
    <w:p>
      <w:pPr>
        <w:pStyle w:val="PullQuote"/>
      </w:pPr>
      <w:r>
        <w:t xml:space="preserve">  ⚠ No edge claims; our EPS matches baseline (consensus).</w:t>
      </w:r>
    </w:p>
    <w:p>
      <w:r>
        <w:t>Our estimate is $0.00 (0.0%) below consensus $2.46. No single driver within plausible bounds can close the gap to consensus when other drivers are held at our values; the EPS variant is diffuse (top magnitude: revenue_growth.core_growth). Variant appears within market noise -- may already be priced in. Next catalyst: Next quarterly earnings report (2026-05-05 (7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revenue_growth.core_growth</w:t>
            </w:r>
          </w:p>
        </w:tc>
        <w:tc>
          <w:tcPr>
            <w:tcW w:type="dxa" w:w="1958"/>
            <w:tcBorders>
              <w:top w:val="single" w:sz="4" w:color="BDC3C7"/>
              <w:bottom w:val="single" w:sz="4" w:color="BDC3C7"/>
              <w:left w:val="single" w:sz="4" w:color="BDC3C7"/>
              <w:right w:val="single" w:sz="4" w:color="BDC3C7"/>
            </w:tcBorders>
          </w:tcPr>
          <w:p>
            <w:r>
              <w:t>+18.00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(6.0%). Short interest 34.4% neutral</w:t>
      </w:r>
    </w:p>
    <w:p>
      <w:r>
        <w:t>Edge verdict: NO_CLEAR_EDGE (score 0.000).</w:t>
      </w:r>
    </w:p>
    <w:p>
      <w:pPr>
        <w:pStyle w:val="SectionHeading"/>
      </w:pPr>
      <w:r>
        <w:t>4. Catalysts</w:t>
      </w:r>
    </w:p>
    <w:p>
      <w:pPr>
        <w:pStyle w:val="ListBullet"/>
      </w:pPr>
      <w:r>
        <w:t>Next quarterly earnings report (2026-05-05 (7 days)) — resolves revenue + margins + guidance; confirms or challenges</w:t>
      </w:r>
    </w:p>
    <w:p>
      <w:pPr>
        <w:pStyle w:val="ListBullet"/>
      </w:pPr>
      <w:r>
        <w:t>Resolution: Smooth international expansion driving incremental growth (Resolves at earnings (2026-05-05)) — resolves revenue_growth; confirms or challenges</w:t>
      </w:r>
    </w:p>
    <w:p>
      <w:pPr>
        <w:pStyle w:val="ListBullet"/>
      </w:pPr>
      <w:r>
        <w:t>Resolution: Clinical trials will provide meaningful revenue contribution (Resolves at earnings (2026-05-05)) — resolves revenue_growth; confirms or challenges</w:t>
      </w:r>
    </w:p>
    <w:p>
      <w:pPr>
        <w:pStyle w:val="ListBullet"/>
      </w:pPr>
      <w:r>
        <w:t>Resolution: Analyst blind spot (Multi-year thesis -- patience required) — resolves general; confirms or challenges</w:t>
      </w:r>
    </w:p>
    <w:p>
      <w:pPr>
        <w:pStyle w:val="ListBullet"/>
      </w:pPr>
      <w:r>
        <w:t>Specific dollar amounts for European expansion investments (Unknown timing) — resolves multiple; resolves uncertainty</w:t>
      </w:r>
    </w:p>
    <w:p>
      <w:pPr>
        <w:pStyle w:val="ListBullet"/>
      </w:pPr>
      <w:r>
        <w:t>Reconciliation between management's $727-757M FY2026 guide and consensus $876M expectation (Unknown timing) — resolves multiple; resolves uncertainty</w:t>
      </w:r>
    </w:p>
    <w:p>
      <w:pPr>
        <w:pStyle w:val="SectionHeading"/>
      </w:pPr>
      <w:r>
        <w:t>5. Risks, Blind Spots &amp; Kill Criteria</w:t>
      </w:r>
    </w:p>
    <w:p>
      <w:pPr>
        <w:pStyle w:val="SubHeading"/>
      </w:pPr>
      <w:r>
        <w:t>Top risks:</w:t>
      </w:r>
    </w:p>
    <w:p>
      <w:pPr>
        <w:pStyle w:val="ListBullet"/>
      </w:pPr>
      <w:r>
        <w:t>Analyst focuses on 250bps operating margin compression from international expansion — counter: Q4 2025 EPS was artificially inflated to $2.62 due to $103.3M tax valuation allowance release. Adjusted EPS was only $0.47 without this one-time benefit. The consensus EPS target of $2.46 appears to embed this tax tailwind continuing, which management explicitly said will normalize to statutory rates going forward (source: press_releases, filing) [serious]</w:t>
      </w:r>
    </w:p>
    <w:p>
      <w:pPr>
        <w:pStyle w:val="ListBullet"/>
      </w:pPr>
      <w:r>
        <w:t>Smooth international expansion driving incremental growth — counter: CFO explicitly refused to provide dollar amounts for European investments in Q3 2025 call, stating 'I'm not going to provide a specific dollar amount on the investment in Europe.' Management warns of 250bps operating margin compression in FY2026 'primarily reflecting the timing and scale of these investments.' [moderate]</w:t>
      </w:r>
    </w:p>
    <w:p>
      <w:pPr>
        <w:pStyle w:val="ListBullet"/>
      </w:pPr>
      <w:r>
        <w:t>Analyst blind spot — counter: No analysis of donor organ supply constraints - the business is ultimately gated by organ availability, not just technology adoption [moderate]</w:t>
      </w:r>
    </w:p>
    <w:p>
      <w:pPr>
        <w:pStyle w:val="SubHeading"/>
      </w:pPr>
      <w:r>
        <w:t>Blind spots (auditor-independent):</w:t>
      </w:r>
    </w:p>
    <w:p>
      <w:pPr>
        <w:pStyle w:val="ListBullet"/>
      </w:pPr>
      <w:r>
        <w:t>No analysis of donor organ supply constraints - the business is ultimately gated by organ availability, not just technology adoption</w:t>
      </w:r>
    </w:p>
    <w:p>
      <w:pPr>
        <w:pStyle w:val="ListBullet"/>
      </w:pPr>
      <w:r>
        <w:t>Missing consideration of hospital capital budget cycles and timing - medical device sales are lumpy and tied to institutional budgeting</w:t>
      </w:r>
    </w:p>
    <w:p>
      <w:pPr>
        <w:pStyle w:val="ListBullet"/>
      </w:pPr>
      <w:r>
        <w:t>No assessment of competitive moat sustainability - what prevents larger medical device companies (MDT, BSX, ABT) from developing competing organ preservation technology</w:t>
      </w:r>
    </w:p>
    <w:p>
      <w:pPr>
        <w:pStyle w:val="KillCriteria"/>
      </w:pPr>
      <w:r>
        <w:t>What would change our mind: Unable to close gap: Specific dollar amounts for European expansion investments</w:t>
      </w:r>
    </w:p>
    <w:p>
      <w:pPr>
        <w:pStyle w:val="SectionHeading"/>
      </w:pPr>
      <w:r>
        <w:t>Appendix</w:t>
      </w:r>
    </w:p>
    <w:p>
      <w:pPr>
        <w:pStyle w:val="SubHeading"/>
      </w:pPr>
      <w:r>
        <w:t>Business context:</w:t>
      </w:r>
    </w:p>
    <w:p>
      <w:r>
        <w:t>TransMedics provides organ preservation technology (OCS) and logistics services (NOP program) to expand utilization of donor organs for transplantation. The company generates revenue through both product sales of OCS technology and service fees from their integrated transplant logistics platform across liver, heart, and lung organs.</w:t>
      </w:r>
    </w:p>
    <w:p>
      <w:pPr>
        <w:pStyle w:val="SubHeading"/>
      </w:pPr>
      <w:r>
        <w:t>Evidence gaps (research TODO):</w:t>
      </w:r>
    </w:p>
    <w:p>
      <w:pPr>
        <w:pStyle w:val="ListBullet"/>
      </w:pPr>
      <w:r>
        <w:t>Specific dollar amounts for European expansion investments</w:t>
      </w:r>
    </w:p>
    <w:p>
      <w:pPr>
        <w:pStyle w:val="ListBullet"/>
      </w:pPr>
      <w:r>
        <w:t>Reconciliation between management's $727-757M FY2026 guide and consensus $876M expectation</w:t>
      </w:r>
    </w:p>
    <w:p>
      <w:pPr>
        <w:pStyle w:val="ListBullet"/>
      </w:pPr>
      <w:r>
        <w:t>Timeline and financial impact of clinical trial programs</w:t>
      </w:r>
    </w:p>
    <w:p>
      <w:pPr>
        <w:pStyle w:val="ListBullet"/>
      </w:pPr>
      <w:r>
        <w:t>Competitive dynamics in international markets, particularly Europe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