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TMDX — TMDX</w:t>
      </w:r>
    </w:p>
    <w:p>
      <w:pPr>
        <w:pStyle w:val="SmallMeta"/>
      </w:pPr>
      <w:r>
        <w:t>As of 2026-04-28  |  Schema: general  |  Data: polygon+alpha_vantage (FY2025)</w:t>
      </w:r>
    </w:p>
    <w:p>
      <w:pPr>
        <w:pStyle w:val="SubHeading"/>
      </w:pPr>
      <w:r>
        <w:rPr>
          <w:color w:val="8C1D40"/>
        </w:rPr>
        <w:t>Direction: SHORT | Current: $101.26</w:t>
      </w:r>
    </w:p>
    <w:p>
      <w:pPr>
        <w:pStyle w:val="SubHeading"/>
      </w:pPr>
      <w:r>
        <w:t>Summary</w:t>
      </w:r>
    </w:p>
    <w:p>
      <w:pPr>
        <w:pStyle w:val="ListBullet"/>
      </w:pPr>
      <w:r>
        <w:t>Thesis: Consensus underestimates the margin compression from international expansion investments, leading to 2026 EPS estimates that are 15-20% too high despite reasonable revenue assumptions.</w:t>
      </w:r>
    </w:p>
    <w:p>
      <w:pPr>
        <w:pStyle w:val="ListBullet"/>
      </w:pPr>
      <w:r>
        <w:t>Next catalyst: Next quarterly earnings report (2026-05-05 (7 days))</w:t>
      </w:r>
    </w:p>
    <w:p>
      <w:pPr>
        <w:pStyle w:val="ListBullet"/>
      </w:pPr>
      <w:r>
        <w:t>Top risk: Operating leverage will continue driving margin expansion</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EVIDENCE AUDIT: evidence audit: 4 finding(s) — cited→inferred: 4</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$0.61</w:t>
            </w:r>
          </w:p>
        </w:tc>
        <w:tc>
          <w:tcPr>
            <w:tcW w:type="dxa" w:w="1399"/>
            <w:tcBorders>
              <w:top w:val="single" w:sz="4" w:color="BDC3C7"/>
              <w:bottom w:val="single" w:sz="4" w:color="BDC3C7"/>
              <w:left w:val="single" w:sz="4" w:color="BDC3C7"/>
              <w:right w:val="single" w:sz="4" w:color="BDC3C7"/>
            </w:tcBorders>
          </w:tcPr>
          <w:p>
            <w:r>
              <w:t>$0.45 – $0.82</w:t>
            </w:r>
          </w:p>
        </w:tc>
        <w:tc>
          <w:tcPr>
            <w:tcW w:type="dxa" w:w="1399"/>
            <w:tcBorders>
              <w:top w:val="single" w:sz="4" w:color="BDC3C7"/>
              <w:bottom w:val="single" w:sz="4" w:color="BDC3C7"/>
              <w:left w:val="single" w:sz="4" w:color="BDC3C7"/>
              <w:right w:val="single" w:sz="4" w:color="BDC3C7"/>
            </w:tcBorders>
          </w:tcPr>
          <w:p>
            <w:r>
              <w:t>8</w:t>
            </w:r>
          </w:p>
        </w:tc>
        <w:tc>
          <w:tcPr>
            <w:tcW w:type="dxa" w:w="1399"/>
            <w:tcBorders>
              <w:top w:val="single" w:sz="4" w:color="BDC3C7"/>
              <w:bottom w:val="single" w:sz="4" w:color="BDC3C7"/>
              <w:left w:val="single" w:sz="4" w:color="BDC3C7"/>
              <w:right w:val="single" w:sz="4" w:color="BDC3C7"/>
            </w:tcBorders>
          </w:tcPr>
          <w:p>
            <w:r>
              <w:t>-12.7%</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↑2 / ↓3</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$0.75</w:t>
            </w:r>
          </w:p>
        </w:tc>
        <w:tc>
          <w:tcPr>
            <w:tcW w:type="dxa" w:w="1399"/>
            <w:tcBorders>
              <w:top w:val="single" w:sz="4" w:color="BDC3C7"/>
              <w:bottom w:val="single" w:sz="4" w:color="BDC3C7"/>
              <w:left w:val="single" w:sz="4" w:color="BDC3C7"/>
              <w:right w:val="single" w:sz="4" w:color="BDC3C7"/>
            </w:tcBorders>
          </w:tcPr>
          <w:p>
            <w:r>
              <w:t>$0.56 – $0.93</w:t>
            </w:r>
          </w:p>
        </w:tc>
        <w:tc>
          <w:tcPr>
            <w:tcW w:type="dxa" w:w="1399"/>
            <w:tcBorders>
              <w:top w:val="single" w:sz="4" w:color="BDC3C7"/>
              <w:bottom w:val="single" w:sz="4" w:color="BDC3C7"/>
              <w:left w:val="single" w:sz="4" w:color="BDC3C7"/>
              <w:right w:val="single" w:sz="4" w:color="BDC3C7"/>
            </w:tcBorders>
          </w:tcPr>
          <w:p>
            <w:r>
              <w:t>7</w:t>
            </w:r>
          </w:p>
        </w:tc>
        <w:tc>
          <w:tcPr>
            <w:tcW w:type="dxa" w:w="1399"/>
            <w:tcBorders>
              <w:top w:val="single" w:sz="4" w:color="BDC3C7"/>
              <w:bottom w:val="single" w:sz="4" w:color="BDC3C7"/>
              <w:left w:val="single" w:sz="4" w:color="BDC3C7"/>
              <w:right w:val="single" w:sz="4" w:color="BDC3C7"/>
            </w:tcBorders>
          </w:tcPr>
          <w:p>
            <w:r>
              <w:t>-18.9%</w:t>
            </w:r>
          </w:p>
        </w:tc>
        <w:tc>
          <w:tcPr>
            <w:tcW w:type="dxa" w:w="1399"/>
            <w:tcBorders>
              <w:top w:val="single" w:sz="4" w:color="BDC3C7"/>
              <w:bottom w:val="single" w:sz="4" w:color="BDC3C7"/>
              <w:left w:val="single" w:sz="4" w:color="BDC3C7"/>
              <w:right w:val="single" w:sz="4" w:color="BDC3C7"/>
            </w:tcBorders>
          </w:tcPr>
          <w:p>
            <w:r>
              <w:t>↑ +0.006</w:t>
            </w:r>
          </w:p>
        </w:tc>
        <w:tc>
          <w:tcPr>
            <w:tcW w:type="dxa" w:w="1399"/>
            <w:tcBorders>
              <w:top w:val="single" w:sz="4" w:color="BDC3C7"/>
              <w:bottom w:val="single" w:sz="4" w:color="BDC3C7"/>
              <w:left w:val="single" w:sz="4" w:color="BDC3C7"/>
              <w:right w:val="single" w:sz="4" w:color="BDC3C7"/>
            </w:tcBorders>
          </w:tcPr>
          <w:p>
            <w:r>
              <w:t>↑2 / ↓2</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$2.46</w:t>
            </w:r>
          </w:p>
        </w:tc>
        <w:tc>
          <w:tcPr>
            <w:tcW w:type="dxa" w:w="1399"/>
            <w:tcBorders>
              <w:top w:val="single" w:sz="4" w:color="BDC3C7"/>
              <w:bottom w:val="single" w:sz="4" w:color="BDC3C7"/>
              <w:left w:val="single" w:sz="4" w:color="BDC3C7"/>
              <w:right w:val="single" w:sz="4" w:color="BDC3C7"/>
            </w:tcBorders>
          </w:tcPr>
          <w:p>
            <w:r>
              <w:t>$2.08 – $2.87</w:t>
            </w:r>
          </w:p>
        </w:tc>
        <w:tc>
          <w:tcPr>
            <w:tcW w:type="dxa" w:w="1399"/>
            <w:tcBorders>
              <w:top w:val="single" w:sz="4" w:color="BDC3C7"/>
              <w:bottom w:val="single" w:sz="4" w:color="BDC3C7"/>
              <w:left w:val="single" w:sz="4" w:color="BDC3C7"/>
              <w:right w:val="single" w:sz="4" w:color="BDC3C7"/>
            </w:tcBorders>
          </w:tcPr>
          <w:p>
            <w:r>
              <w:t>9</w:t>
            </w:r>
          </w:p>
        </w:tc>
        <w:tc>
          <w:tcPr>
            <w:tcW w:type="dxa" w:w="1399"/>
            <w:tcBorders>
              <w:top w:val="single" w:sz="4" w:color="BDC3C7"/>
              <w:bottom w:val="single" w:sz="4" w:color="BDC3C7"/>
              <w:left w:val="single" w:sz="4" w:color="BDC3C7"/>
              <w:right w:val="single" w:sz="4" w:color="BDC3C7"/>
            </w:tcBorders>
          </w:tcPr>
          <w:p>
            <w:r>
              <w:t>-6.4%</w:t>
            </w:r>
          </w:p>
        </w:tc>
        <w:tc>
          <w:tcPr>
            <w:tcW w:type="dxa" w:w="1399"/>
            <w:tcBorders>
              <w:top w:val="single" w:sz="4" w:color="BDC3C7"/>
              <w:bottom w:val="single" w:sz="4" w:color="BDC3C7"/>
              <w:left w:val="single" w:sz="4" w:color="BDC3C7"/>
              <w:right w:val="single" w:sz="4" w:color="BDC3C7"/>
            </w:tcBorders>
          </w:tcPr>
          <w:p>
            <w:r>
              <w:t>↓ -0.007</w:t>
            </w:r>
          </w:p>
        </w:tc>
        <w:tc>
          <w:tcPr>
            <w:tcW w:type="dxa" w:w="1399"/>
            <w:tcBorders>
              <w:top w:val="single" w:sz="4" w:color="BDC3C7"/>
              <w:bottom w:val="single" w:sz="4" w:color="BDC3C7"/>
              <w:left w:val="single" w:sz="4" w:color="BDC3C7"/>
              <w:right w:val="single" w:sz="4" w:color="BDC3C7"/>
            </w:tcBorders>
          </w:tcPr>
          <w:p>
            <w:r>
              <w:t>↑1 / ↓2</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$3.68</w:t>
            </w:r>
          </w:p>
        </w:tc>
        <w:tc>
          <w:tcPr>
            <w:tcW w:type="dxa" w:w="1399"/>
            <w:tcBorders>
              <w:top w:val="single" w:sz="4" w:color="BDC3C7"/>
              <w:bottom w:val="single" w:sz="4" w:color="BDC3C7"/>
              <w:left w:val="single" w:sz="4" w:color="BDC3C7"/>
              <w:right w:val="single" w:sz="4" w:color="BDC3C7"/>
            </w:tcBorders>
          </w:tcPr>
          <w:p>
            <w:r>
              <w:t>$3.01 – $4.19</w:t>
            </w:r>
          </w:p>
        </w:tc>
        <w:tc>
          <w:tcPr>
            <w:tcW w:type="dxa" w:w="1399"/>
            <w:tcBorders>
              <w:top w:val="single" w:sz="4" w:color="BDC3C7"/>
              <w:bottom w:val="single" w:sz="4" w:color="BDC3C7"/>
              <w:left w:val="single" w:sz="4" w:color="BDC3C7"/>
              <w:right w:val="single" w:sz="4" w:color="BDC3C7"/>
            </w:tcBorders>
          </w:tcPr>
          <w:p>
            <w:r>
              <w:t>9</w:t>
            </w:r>
          </w:p>
        </w:tc>
        <w:tc>
          <w:tcPr>
            <w:tcW w:type="dxa" w:w="1399"/>
            <w:tcBorders>
              <w:top w:val="single" w:sz="4" w:color="BDC3C7"/>
              <w:bottom w:val="single" w:sz="4" w:color="BDC3C7"/>
              <w:left w:val="single" w:sz="4" w:color="BDC3C7"/>
              <w:right w:val="single" w:sz="4" w:color="BDC3C7"/>
            </w:tcBorders>
          </w:tcPr>
          <w:p>
            <w:r>
              <w:t>+49.9%</w:t>
            </w:r>
          </w:p>
        </w:tc>
        <w:tc>
          <w:tcPr>
            <w:tcW w:type="dxa" w:w="1399"/>
            <w:tcBorders>
              <w:top w:val="single" w:sz="4" w:color="BDC3C7"/>
              <w:bottom w:val="single" w:sz="4" w:color="BDC3C7"/>
              <w:left w:val="single" w:sz="4" w:color="BDC3C7"/>
              <w:right w:val="single" w:sz="4" w:color="BDC3C7"/>
            </w:tcBorders>
          </w:tcPr>
          <w:p>
            <w:r>
              <w:t>↓ -0.024</w:t>
            </w:r>
          </w:p>
        </w:tc>
        <w:tc>
          <w:tcPr>
            <w:tcW w:type="dxa" w:w="1399"/>
            <w:tcBorders>
              <w:top w:val="single" w:sz="4" w:color="BDC3C7"/>
              <w:bottom w:val="single" w:sz="4" w:color="BDC3C7"/>
              <w:left w:val="single" w:sz="4" w:color="BDC3C7"/>
              <w:right w:val="single" w:sz="4" w:color="BDC3C7"/>
            </w:tcBorders>
          </w:tcPr>
          <w:p>
            <w:r>
              <w:t>↑1 / ↓3</w:t>
            </w:r>
          </w:p>
        </w:tc>
      </w:tr>
    </w:tbl>
    <w:p>
      <w:r>
        <w:t>Revenue consensus: Q $0.17B (+21.3%)  |  Q+1 $0.19B (+20.2%)  |  FY $0.74B (+22.1%)  |  FY+1 $0.88B (+18.6%)</w:t>
      </w:r>
    </w:p>
    <w:p>
      <w:r>
        <w:t>Price targets: Mean $156.00  |  Median $156.00  |  Range $118.00–$190.00  |  Current $101.26 (+54.1% to mean)</w:t>
      </w:r>
    </w:p>
    <w:p>
      <w:r>
        <w:t>Analyst ratings (n=11): Strong Buy 2 · Buy 7 · Hold 2 · Sell 0 · Strong Sell 0  ·  82% bullish</w:t>
      </w:r>
    </w:p>
    <w:p>
      <w:r>
        <w:t>Next earnings: 2026-05-05 (7d out)  ·  EPS $0.61 ($0.45–$0.82)  ·  Rev $0.17B</w:t>
      </w:r>
    </w:p>
    <w:p>
      <w:pPr>
        <w:pStyle w:val="SectionHeading"/>
      </w:pPr>
      <w:r>
        <w:t>1. Edge</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$0.61</w:t>
            </w:r>
          </w:p>
        </w:tc>
        <w:tc>
          <w:tcPr>
            <w:tcW w:type="dxa" w:w="3264"/>
            <w:tcBorders>
              <w:top w:val="single" w:sz="4" w:color="BDC3C7"/>
              <w:bottom w:val="single" w:sz="4" w:color="BDC3C7"/>
              <w:left w:val="single" w:sz="4" w:color="BDC3C7"/>
              <w:right w:val="single" w:sz="4" w:color="BDC3C7"/>
            </w:tcBorders>
          </w:tcPr>
          <w:p>
            <w:r>
              <w:t>$174M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$0.75</w:t>
            </w:r>
          </w:p>
        </w:tc>
        <w:tc>
          <w:tcPr>
            <w:tcW w:type="dxa" w:w="3264"/>
            <w:tcBorders>
              <w:top w:val="single" w:sz="4" w:color="BDC3C7"/>
              <w:bottom w:val="single" w:sz="4" w:color="BDC3C7"/>
              <w:left w:val="single" w:sz="4" w:color="BDC3C7"/>
              <w:right w:val="single" w:sz="4" w:color="BDC3C7"/>
            </w:tcBorders>
          </w:tcPr>
          <w:p>
            <w:r>
              <w:t>$189M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$2.46</w:t>
            </w:r>
          </w:p>
        </w:tc>
        <w:tc>
          <w:tcPr>
            <w:tcW w:type="dxa" w:w="3264"/>
            <w:tcBorders>
              <w:top w:val="single" w:sz="4" w:color="BDC3C7"/>
              <w:bottom w:val="single" w:sz="4" w:color="BDC3C7"/>
              <w:left w:val="single" w:sz="4" w:color="BDC3C7"/>
              <w:right w:val="single" w:sz="4" w:color="BDC3C7"/>
            </w:tcBorders>
          </w:tcPr>
          <w:p>
            <w:r>
              <w:t>$739M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$3.68</w:t>
            </w:r>
          </w:p>
        </w:tc>
        <w:tc>
          <w:tcPr>
            <w:tcW w:type="dxa" w:w="3264"/>
            <w:tcBorders>
              <w:top w:val="single" w:sz="4" w:color="BDC3C7"/>
              <w:bottom w:val="single" w:sz="4" w:color="BDC3C7"/>
              <w:left w:val="single" w:sz="4" w:color="BDC3C7"/>
              <w:right w:val="single" w:sz="4" w:color="BDC3C7"/>
            </w:tcBorders>
          </w:tcPr>
          <w:p>
            <w:r>
              <w:t>$876M</w:t>
            </w:r>
          </w:p>
        </w:tc>
      </w:tr>
    </w:tbl>
    <w:p>
      <w:pPr>
        <w:pStyle w:val="SubHeading"/>
      </w:pPr>
      <w:r>
        <w:t>Management guidance:</w:t>
      </w:r>
    </w:p>
    <w:p>
      <w:pPr>
        <w:pStyle w:val="ListBullet"/>
      </w:pPr>
      <w:r>
        <w:t>Revenue (FY2026): $727 million to $757 million  — Q4 2025, call, CFO</w:t>
      </w:r>
    </w:p>
    <w:p>
      <w:pPr>
        <w:pStyle w:val="ListBullet"/>
      </w:pPr>
      <w:r>
        <w:t>Operating Margin (FY2026): up to approximately 250 basis points below 2025 full-year levels  — Q4 2025, call, CFO</w:t>
      </w:r>
    </w:p>
    <w:p>
      <w:pPr>
        <w:pStyle w:val="ListBullet"/>
      </w:pPr>
      <w:r>
        <w:t>Operating Margin (long-term): approach 30% by 2028  — Q4 2025, call, CFO</w:t>
      </w:r>
    </w:p>
    <w:p>
      <w:r>
        <w:t>Consensus underestimates the margin compression from international expansion investments, leading to 2026 EPS estimates that are 15-20% too high despite reasonable revenue assumptions.</w:t>
      </w:r>
    </w:p>
    <w:p>
      <w:r>
        <w:t>Street models appear to assume international expansion costs are already reflected in current margins, but management explicitly guided to 250bps of compression in 2026. CFO's refusal to quantify European investment amounts in Q3 followed by specific margin impact guidance in Q4 suggests larger investment scale than consensus appreciates.</w:t>
      </w:r>
    </w:p>
    <w:p>
      <w:r>
        <w:t>The debate: Whether the company can maintain 20%+ revenue growth while absorbing significant international expansion investments that will compress margins 250bps in 2026, and whether clinical trials will drive meaningful incremental growth.</w:t>
      </w:r>
    </w:p>
    <w:p>
      <w:pPr>
        <w:pStyle w:val="SubHeading"/>
      </w:pPr>
      <w:r>
        <w:t>Edge claims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$2.46</w:t>
            </w:r>
          </w:p>
        </w:tc>
        <w:tc>
          <w:tcPr>
            <w:tcW w:type="dxa" w:w="1632"/>
            <w:tcBorders>
              <w:top w:val="single" w:sz="4" w:color="BDC3C7"/>
              <w:bottom w:val="single" w:sz="4" w:color="BDC3C7"/>
              <w:left w:val="single" w:sz="4" w:color="BDC3C7"/>
              <w:right w:val="single" w:sz="4" w:color="BDC3C7"/>
            </w:tcBorders>
          </w:tcPr>
          <w:p>
            <w:r>
              <w:t>$2.10</w:t>
            </w:r>
          </w:p>
        </w:tc>
        <w:tc>
          <w:tcPr>
            <w:tcW w:type="dxa" w:w="1632"/>
            <w:tcBorders>
              <w:top w:val="single" w:sz="4" w:color="BDC3C7"/>
              <w:bottom w:val="single" w:sz="4" w:color="BDC3C7"/>
              <w:left w:val="single" w:sz="4" w:color="BDC3C7"/>
              <w:right w:val="single" w:sz="4" w:color="BDC3C7"/>
            </w:tcBorders>
          </w:tcPr>
          <w:p>
            <w:r>
              <w:t>-0.36</w:t>
            </w:r>
          </w:p>
        </w:tc>
        <w:tc>
          <w:tcPr>
            <w:tcW w:type="dxa" w:w="1632"/>
            <w:tcBorders>
              <w:top w:val="single" w:sz="4" w:color="BDC3C7"/>
              <w:bottom w:val="single" w:sz="4" w:color="BDC3C7"/>
              <w:left w:val="single" w:sz="4" w:color="BDC3C7"/>
              <w:right w:val="single" w:sz="4" w:color="BDC3C7"/>
            </w:tcBorders>
          </w:tcPr>
          <w:p>
            <w:r>
              <w:t>non_public_inference</w:t>
            </w:r>
          </w:p>
        </w:tc>
      </w:tr>
    </w:tbl>
    <w:p>
      <w:pPr>
        <w:pStyle w:val="SubHeading"/>
      </w:pPr>
      <w:r>
        <w:t>Claim 1 — consensus_fy_eps</w:t>
      </w:r>
    </w:p>
    <w:p>
      <w:r>
        <w:t>Consensus appears to underestimate operating margin compression from international expansion investments that management explicitly guided to 250bps below 2025 levels</w:t>
      </w:r>
    </w:p>
    <w:p>
      <w:r>
        <w:t>Street anchor: $2.46 (yfinance consensus) → Our view: $2.10</w:t>
      </w:r>
    </w:p>
    <w:p>
      <w:pPr>
        <w:pStyle w:val="PullQuote"/>
      </w:pPr>
      <w:r>
        <w:t>“We expect operating margins to be up to approximately 250 basis points below 2025 full-year levels, primarily reflecting the timing and scale of these investments”  (transcript)</w:t>
      </w:r>
    </w:p>
    <w:p>
      <w:pPr>
        <w:pStyle w:val="PullQuote"/>
      </w:pPr>
      <w:r>
        <w:t>“I'm not going to provide a specific dollar amount on the investment in Europe. We will provide a little bit more color next year in our next call”  (transcript)</w:t>
      </w:r>
    </w:p>
    <w:p>
      <w:r>
        <w:t>Why not consensus: Single-quarter analysts likely model margin compression linearly from current levels rather than incorporating management's explicit 250bps step-down guidance for investment timing</w:t>
      </w:r>
    </w:p>
    <w:p>
      <w:pPr>
        <w:pStyle w:val="KillCriteria"/>
      </w:pPr>
      <w:r>
        <w:t>Falsifier: If Q1 2026 operating margins come in above 15.5% (18% - 250bps), suggesting lighter investment impact than guided</w:t>
      </w:r>
    </w:p>
    <w:p>
      <w:r>
        <w:t>Management tone shift in Q2 2025→Q3 2025: 2026 guidance timing: new_caveat — Management became more cautious about providing forward guidance, wanting more time to evaluate init</w:t>
      </w:r>
    </w:p>
    <w:p>
      <w:pPr>
        <w:pStyle w:val="PullQuote"/>
      </w:pPr>
      <w:r>
        <w:t>Counter: the analyst claims Consensus underestimates margin compression, leading to EPS estimates 15-20% too high — but The tax valuation allowance release creates such massive EPS distortion that any margin-based EPS analysis becomes meaningless. Consensus likely can't accurately model this either, making the 'edge' more about tax accounting than operational forecasting. The analyst's advantage disappears when the primary driver of EPS variance is a one-time tax benefit, not operational performance.</w:t>
      </w:r>
    </w:p>
    <w:p>
      <w:pPr>
        <w:pStyle w:val="SectionHeading"/>
      </w:pPr>
      <w:r>
        <w:t>2. Drivers</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1958"/>
            <w:shd w:val="clear" w:color="auto" w:fill="E8EDF5"/>
            <w:tcBorders>
              <w:top w:val="single" w:sz="4" w:color="BDC3C7"/>
              <w:bottom w:val="single" w:sz="4" w:color="BDC3C7"/>
              <w:left w:val="single" w:sz="4" w:color="BDC3C7"/>
              <w:right w:val="single" w:sz="4" w:color="BDC3C7"/>
            </w:tcBorders>
          </w:tcPr>
          <w:p>
            <w:r>
              <w:rPr>
                <w:b/>
              </w:rPr>
              <w:t>Value</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c>
          <w:tcPr>
            <w:tcW w:type="dxa" w:w="1958"/>
            <w:shd w:val="clear" w:color="auto" w:fill="E8EDF5"/>
            <w:tcBorders>
              <w:top w:val="single" w:sz="4" w:color="BDC3C7"/>
              <w:bottom w:val="single" w:sz="4" w:color="BDC3C7"/>
              <w:left w:val="single" w:sz="4" w:color="BDC3C7"/>
              <w:right w:val="single" w:sz="4" w:color="BDC3C7"/>
            </w:tcBorders>
          </w:tcPr>
          <w:p>
            <w:r>
              <w:rPr>
                <w:b/>
              </w:rPr>
              <w:t>Ev</w:t>
            </w:r>
          </w:p>
        </w:tc>
        <w:tc>
          <w:tcPr>
            <w:tcW w:type="dxa" w:w="195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1958"/>
            <w:tcBorders>
              <w:top w:val="single" w:sz="4" w:color="BDC3C7"/>
              <w:bottom w:val="single" w:sz="4" w:color="BDC3C7"/>
              <w:left w:val="single" w:sz="4" w:color="BDC3C7"/>
              <w:right w:val="single" w:sz="4" w:color="BDC3C7"/>
            </w:tcBorders>
          </w:tcPr>
          <w:p>
            <w:r>
              <w:rPr>
                <w:b/>
              </w:rPr>
              <w:t>revenue_growth</w:t>
            </w:r>
          </w:p>
        </w:tc>
        <w:tc>
          <w:tcPr>
            <w:tcW w:type="dxa" w:w="1958"/>
            <w:tcBorders>
              <w:top w:val="single" w:sz="4" w:color="BDC3C7"/>
              <w:bottom w:val="single" w:sz="4" w:color="BDC3C7"/>
              <w:left w:val="single" w:sz="4" w:color="BDC3C7"/>
              <w:right w:val="single" w:sz="4" w:color="BDC3C7"/>
            </w:tcBorders>
          </w:tcPr>
          <w:p>
            <w:r>
              <w:rPr>
                <w:b/>
              </w:rPr>
              <w:t>+16.80%</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organ_utilization_growth</w:t>
            </w:r>
          </w:p>
        </w:tc>
        <w:tc>
          <w:tcPr>
            <w:tcW w:type="dxa" w:w="1958"/>
            <w:tcBorders>
              <w:top w:val="single" w:sz="4" w:color="BDC3C7"/>
              <w:bottom w:val="single" w:sz="4" w:color="BDC3C7"/>
              <w:left w:val="single" w:sz="4" w:color="BDC3C7"/>
              <w:right w:val="single" w:sz="4" w:color="BDC3C7"/>
            </w:tcBorders>
          </w:tcPr>
          <w:p>
            <w:r>
              <w:t>+12.00%</w:t>
            </w:r>
          </w:p>
        </w:tc>
        <w:tc>
          <w:tcPr>
            <w:tcW w:type="dxa" w:w="1958"/>
            <w:tcBorders>
              <w:top w:val="single" w:sz="4" w:color="BDC3C7"/>
              <w:bottom w:val="single" w:sz="4" w:color="BDC3C7"/>
              <w:left w:val="single" w:sz="4" w:color="BDC3C7"/>
              <w:right w:val="single" w:sz="4" w:color="BDC3C7"/>
            </w:tcBorders>
          </w:tcPr>
          <w:p>
            <w:r>
              <w:t>0.65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In the Q4 2025 call, CFO stated 'Growth is expected to be driven primarily by increased oil utilization, continued OCS adoption, and expansion of our service revenue.' U.S. transplant revenue grew 38.6% in 2025 with live  [auto-downgraded: basis contains numbers not found in corpus: $126M]</w:t>
            </w:r>
          </w:p>
        </w:tc>
      </w:tr>
      <w:tr>
        <w:tc>
          <w:tcPr>
            <w:tcW w:type="dxa" w:w="1958"/>
            <w:tcBorders>
              <w:top w:val="single" w:sz="4" w:color="BDC3C7"/>
              <w:bottom w:val="single" w:sz="4" w:color="BDC3C7"/>
              <w:left w:val="single" w:sz="4" w:color="BDC3C7"/>
              <w:right w:val="single" w:sz="4" w:color="BDC3C7"/>
            </w:tcBorders>
          </w:tcPr>
          <w:p>
            <w:r>
              <w:t xml:space="preserve">    international_expansion</w:t>
            </w:r>
          </w:p>
        </w:tc>
        <w:tc>
          <w:tcPr>
            <w:tcW w:type="dxa" w:w="1958"/>
            <w:tcBorders>
              <w:top w:val="single" w:sz="4" w:color="BDC3C7"/>
              <w:bottom w:val="single" w:sz="4" w:color="BDC3C7"/>
              <w:left w:val="single" w:sz="4" w:color="BDC3C7"/>
              <w:right w:val="single" w:sz="4" w:color="BDC3C7"/>
            </w:tcBorders>
          </w:tcPr>
          <w:p>
            <w:r>
              <w:t>+1.80%</w:t>
            </w:r>
          </w:p>
        </w:tc>
        <w:tc>
          <w:tcPr>
            <w:tcW w:type="dxa" w:w="1958"/>
            <w:tcBorders>
              <w:top w:val="single" w:sz="4" w:color="BDC3C7"/>
              <w:bottom w:val="single" w:sz="4" w:color="BDC3C7"/>
              <w:left w:val="single" w:sz="4" w:color="BDC3C7"/>
              <w:right w:val="single" w:sz="4" w:color="BDC3C7"/>
            </w:tcBorders>
          </w:tcPr>
          <w:p>
            <w:r>
              <w:t>0.45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International revenue was only $16.7M in 2025 (3% of total) but management highlighted Italy launch and broader European expansion plans. In Q3 2025 call, CEO noted 'Our role is to facilitate the utilization of these org  [auto-downgraded: citation text not found in corpus: 'Q3 2025 call CEO: 'Our role is to facilitate the utilization of these organs to ...']</w:t>
            </w:r>
          </w:p>
        </w:tc>
      </w:tr>
      <w:tr>
        <w:tc>
          <w:tcPr>
            <w:tcW w:type="dxa" w:w="1958"/>
            <w:tcBorders>
              <w:top w:val="single" w:sz="4" w:color="BDC3C7"/>
              <w:bottom w:val="single" w:sz="4" w:color="BDC3C7"/>
              <w:left w:val="single" w:sz="4" w:color="BDC3C7"/>
              <w:right w:val="single" w:sz="4" w:color="BDC3C7"/>
            </w:tcBorders>
          </w:tcPr>
          <w:p>
            <w:r>
              <w:t xml:space="preserve">    clinical_trial_contribution</w:t>
            </w:r>
          </w:p>
        </w:tc>
        <w:tc>
          <w:tcPr>
            <w:tcW w:type="dxa" w:w="1958"/>
            <w:tcBorders>
              <w:top w:val="single" w:sz="4" w:color="BDC3C7"/>
              <w:bottom w:val="single" w:sz="4" w:color="BDC3C7"/>
              <w:left w:val="single" w:sz="4" w:color="BDC3C7"/>
              <w:right w:val="single" w:sz="4" w:color="BDC3C7"/>
            </w:tcBorders>
          </w:tcPr>
          <w:p>
            <w:r>
              <w:t>+3.00%</w:t>
            </w:r>
          </w:p>
        </w:tc>
        <w:tc>
          <w:tcPr>
            <w:tcW w:type="dxa" w:w="1958"/>
            <w:tcBorders>
              <w:top w:val="single" w:sz="4" w:color="BDC3C7"/>
              <w:bottom w:val="single" w:sz="4" w:color="BDC3C7"/>
              <w:left w:val="single" w:sz="4" w:color="BDC3C7"/>
              <w:right w:val="single" w:sz="4" w:color="BDC3C7"/>
            </w:tcBorders>
          </w:tcPr>
          <w:p>
            <w:r>
              <w:t>0.35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Management has been inconsistent on clinical trial revenue contribution. In Q2 2025 call, they said 'we have enough organic growth that we're not even counting on any growth from the clinical trial in 25.' However, OCS E  [auto-downgraded: citation text not found in corpus: 'Q2 2025 call: 'we have enough organic growth that we're not even counting on any...']</w:t>
            </w:r>
          </w:p>
        </w:tc>
      </w:tr>
    </w:tbl>
    <w:p>
      <w:pPr>
        <w:pStyle w:val="ReportCaption"/>
      </w:pPr>
      <w:r>
        <w:t>Evidence: C = cited (verbatim support in corpus),  I = inferred (logical chain from cited facts),  S = speculative (plausible mechanism, no direct support).</w:t>
      </w:r>
    </w:p>
    <w:p>
      <w:pPr>
        <w:pStyle w:val="SubHeading"/>
      </w:pPr>
      <w:r>
        <w:t>Bear revisions:</w:t>
      </w:r>
    </w:p>
    <w:p>
      <w:pPr>
        <w:pStyle w:val="ListBullet"/>
      </w:pPr>
      <w:r>
        <w:t>revenue_growth.organ_utilization_growth: 15.0 → 12.0 — If seasonal patterns prove more challenging or clinical trial enrollment diverts resources from core business growth, organic utilization expansion could decelerate from recent 38% pace</w:t>
      </w:r>
    </w:p>
    <w:p>
      <w:pPr>
        <w:pStyle w:val="ListBullet"/>
      </w:pPr>
      <w:r>
        <w:t>revenue_growth.international_expansion: 3.0 → 1.0 — Early stage international business with reimbursement challenges could see slower ramp than expected, particularly given CFO's reluctance to quantify investment amounts in Q3</w:t>
      </w:r>
    </w:p>
    <w:p>
      <w:pPr>
        <w:pStyle w:val="PullQuote"/>
      </w:pPr>
      <w:r>
        <w:t>Counter: the analyst claims Revenue growth assumptions of 20%+ are achievable through organ utilization expansion and international growth — but The growth rate is actually decelerating based on guidance progression, and the model lacks any supply-side constraints analysis. Organ transplantation is ultimately limited by donor organ availability, not just preservation technology adoption. The analyst treats this like a typical med-tech adoption curve without considering the fundamental supply bottleneck.</w:t>
      </w:r>
    </w:p>
    <w:p>
      <w:pPr>
        <w:pStyle w:val="SectionHeading"/>
      </w:pPr>
      <w:r>
        <w:t>3. Consensus Gap &amp; Valuation</w:t>
      </w:r>
    </w:p>
    <w:p>
      <w:r>
        <w:t>Our EPS: $2.10  =  baseline $2.46  +  Σ claim impacts $-0.36 (14.6% below consensus $2.46)</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guidance midpoint;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$2.46</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$2.46 → $2.10 (Δ -36.0%)</w:t>
            </w:r>
          </w:p>
        </w:tc>
        <w:tc>
          <w:tcPr>
            <w:tcW w:type="dxa" w:w="2448"/>
            <w:tcBorders>
              <w:top w:val="single" w:sz="4" w:color="BDC3C7"/>
              <w:bottom w:val="single" w:sz="4" w:color="BDC3C7"/>
              <w:left w:val="single" w:sz="4" w:color="BDC3C7"/>
              <w:right w:val="single" w:sz="4" w:color="BDC3C7"/>
            </w:tcBorders>
          </w:tcPr>
          <w:p>
            <w:r>
              <w:t>Direct EPS delta: $-0.36/share</w:t>
            </w:r>
          </w:p>
        </w:tc>
        <w:tc>
          <w:tcPr>
            <w:tcW w:type="dxa" w:w="2448"/>
            <w:tcBorders>
              <w:top w:val="single" w:sz="4" w:color="BDC3C7"/>
              <w:bottom w:val="single" w:sz="4" w:color="BDC3C7"/>
              <w:left w:val="single" w:sz="4" w:color="BDC3C7"/>
              <w:right w:val="single" w:sz="4" w:color="BDC3C7"/>
            </w:tcBorders>
          </w:tcPr>
          <w:p>
            <w:r>
              <w:t>-0.36</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-0.36</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$2.10</w:t>
            </w:r>
          </w:p>
        </w:tc>
      </w:tr>
    </w:tbl>
    <w:p>
      <w:r>
        <w:t>Our estimate is $0.36 (14.6%) below consensus $2.46. No single driver within plausible bounds can close the gap to consensus when other drivers are held at our values; the EPS variant is diffuse (top magnitude: revenue_growth.organ_utilization_growth). Variant appears NOT fully priced in based on available market data. Next catalyst: Next quarterly earnings report (2026-05-05 (7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revenue_growth.organ_utilization_growth</w:t>
            </w:r>
          </w:p>
        </w:tc>
        <w:tc>
          <w:tcPr>
            <w:tcW w:type="dxa" w:w="1958"/>
            <w:tcBorders>
              <w:top w:val="single" w:sz="4" w:color="BDC3C7"/>
              <w:bottom w:val="single" w:sz="4" w:color="BDC3C7"/>
              <w:left w:val="single" w:sz="4" w:color="BDC3C7"/>
              <w:right w:val="single" w:sz="4" w:color="BDC3C7"/>
            </w:tcBorders>
          </w:tcPr>
          <w:p>
            <w:r>
              <w:t>+12.00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revenue_growth.international_expansion</w:t>
            </w:r>
          </w:p>
        </w:tc>
        <w:tc>
          <w:tcPr>
            <w:tcW w:type="dxa" w:w="1958"/>
            <w:tcBorders>
              <w:top w:val="single" w:sz="4" w:color="BDC3C7"/>
              <w:bottom w:val="single" w:sz="4" w:color="BDC3C7"/>
              <w:left w:val="single" w:sz="4" w:color="BDC3C7"/>
              <w:right w:val="single" w:sz="4" w:color="BDC3C7"/>
            </w:tcBorders>
          </w:tcPr>
          <w:p>
            <w:r>
              <w:t>+1.80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0.25</w:t>
            </w:r>
          </w:p>
        </w:tc>
      </w:tr>
      <w:tr>
        <w:tc>
          <w:tcPr>
            <w:tcW w:type="dxa" w:w="1958"/>
            <w:tcBorders>
              <w:top w:val="single" w:sz="4" w:color="BDC3C7"/>
              <w:bottom w:val="single" w:sz="4" w:color="BDC3C7"/>
              <w:left w:val="single" w:sz="4" w:color="BDC3C7"/>
              <w:right w:val="single" w:sz="4" w:color="BDC3C7"/>
            </w:tcBorders>
          </w:tcPr>
          <w:p>
            <w:r>
              <w:t>revenue_growth.clinical_trial_contribution</w:t>
            </w:r>
          </w:p>
        </w:tc>
        <w:tc>
          <w:tcPr>
            <w:tcW w:type="dxa" w:w="1958"/>
            <w:tcBorders>
              <w:top w:val="single" w:sz="4" w:color="BDC3C7"/>
              <w:bottom w:val="single" w:sz="4" w:color="BDC3C7"/>
              <w:left w:val="single" w:sz="4" w:color="BDC3C7"/>
              <w:right w:val="single" w:sz="4" w:color="BDC3C7"/>
            </w:tcBorders>
          </w:tcPr>
          <w:p>
            <w:r>
              <w:t>+3.00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0.15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(-14.6%) exceeds implied move (6.0%). Short interest 34.4% neutral</w:t>
      </w:r>
    </w:p>
    <w:p>
      <w:r>
        <w:t>Edge verdict: ACTIONABLE_EDGE (score 0.400).</w:t>
      </w:r>
    </w:p>
    <w:p>
      <w:pPr>
        <w:pStyle w:val="PullQuote"/>
      </w:pPr>
      <w:r>
        <w:t>Counter: the analyst claims Current consensus EPS can be stress-tested against margin compression scenarios — but EPS analysis is fundamentally broken due to the tax situation. Q4 2025 normalized EPS was $0.47 vs reported $2.62 - a 5.6x difference. Any valuation framework based on EPS multiples becomes unreliable when the underlying metric has this level of accounting noise. The pitch needs to pivot to revenue or EBITDA-based valuation.</w:t>
      </w:r>
    </w:p>
    <w:p>
      <w:pPr>
        <w:pStyle w:val="SectionHeading"/>
      </w:pPr>
      <w:r>
        <w:t>4. Catalysts</w:t>
      </w:r>
    </w:p>
    <w:p>
      <w:pPr>
        <w:pStyle w:val="ListBullet"/>
      </w:pPr>
      <w:r>
        <w:t>Next quarterly earnings report (2026-05-05 (7 days)) — resolves revenue + margins + guidance; confirms or challenges</w:t>
      </w:r>
    </w:p>
    <w:p>
      <w:pPr>
        <w:pStyle w:val="ListBullet"/>
      </w:pPr>
      <w:r>
        <w:t>Resolution: International expansion will drive meaningful revenue growth in 2026 (Resolves at earnings (2026-05-05)) — resolves revenue_growth; confirms or challenges</w:t>
      </w:r>
    </w:p>
    <w:p>
      <w:pPr>
        <w:pStyle w:val="ListBullet"/>
      </w:pPr>
      <w:r>
        <w:t>Resolution: Operating leverage will continue driving margin expansion (Resolves at earnings (2026-05-05)) — resolves revenue_growth; confirms or challenges</w:t>
      </w:r>
    </w:p>
    <w:p>
      <w:pPr>
        <w:pStyle w:val="ListBullet"/>
      </w:pPr>
      <w:r>
        <w:t>Resolution: Analyst blind spot (Multi-year thesis -- patience required) — resolves general; confirms or challenges</w:t>
      </w:r>
    </w:p>
    <w:p>
      <w:pPr>
        <w:pStyle w:val="ListBullet"/>
      </w:pPr>
      <w:r>
        <w:t>Specific dollar amounts for European expansion investments that CFO refused to disclose in Q3 2025 (Unknown timing) — resolves multiple; resolves uncertainty</w:t>
      </w:r>
    </w:p>
    <w:p>
      <w:pPr>
        <w:pStyle w:val="ListBullet"/>
      </w:pPr>
      <w:r>
        <w:t>Detailed breakdown of clinical trial patient enrollment and revenue per patient economics (Unknown timing) — resolves multiple; resolves uncertainty</w:t>
      </w:r>
    </w:p>
    <w:p>
      <w:pPr>
        <w:pStyle w:val="SectionHeading"/>
      </w:pPr>
      <w:r>
        <w:t>5. Risks, Blind Spots &amp; Kill Criteria</w:t>
      </w:r>
    </w:p>
    <w:p>
      <w:pPr>
        <w:pStyle w:val="SubHeading"/>
      </w:pPr>
      <w:r>
        <w:t>Top risks:</w:t>
      </w:r>
    </w:p>
    <w:p>
      <w:pPr>
        <w:pStyle w:val="ListBullet"/>
      </w:pPr>
      <w:r>
        <w:t>Operating leverage will continue driving margin expansion — counter: CFO explicitly guided operating margins 'up to approximately 250 basis points below 2025 full-year levels' due to international expansion investments, breaking the recent trend of margin expansion [serious]</w:t>
      </w:r>
    </w:p>
    <w:p>
      <w:pPr>
        <w:pStyle w:val="ListBullet"/>
      </w:pPr>
      <w:r>
        <w:t>Analyst expects margin compression of 250bps in 2026 from international expansion investments — counter: Management guided to 'up to approximately 250 basis points below 2025 full-year levels' which is the CEILING, not the expected outcome. The guidance language suggests this is a worst-case scenario for heavy investment timing, not the base case (source: transcripts) [serious]</w:t>
      </w:r>
    </w:p>
    <w:p>
      <w:pPr>
        <w:pStyle w:val="ListBullet"/>
      </w:pPr>
      <w:r>
        <w:t>Consensus EPS estimates are 15-20% too high due to margin compression — counter: The tax situation creates massive noise in EPS comparisons. Q4 2025 reported EPS was $2.62 but normalized EPS was only $0.47 due to $103.3M valuation allowance release. Future tax rates will be ~19% vs the negative 77% in 2025, making year-over-year EPS comparisons meaningless without detailed tax normalization (source: press release, filing) [serious]</w:t>
      </w:r>
    </w:p>
    <w:p>
      <w:pPr>
        <w:pStyle w:val="SubHeading"/>
      </w:pPr>
      <w:r>
        <w:t>Blind spots (auditor-independent):</w:t>
      </w:r>
    </w:p>
    <w:p>
      <w:pPr>
        <w:pStyle w:val="ListBullet"/>
      </w:pPr>
      <w:r>
        <w:t>Tax normalization complexity makes EPS analysis nearly impossible - the $103M valuation allowance release creates a massive one-time benefit that distorts all comparative metrics</w:t>
      </w:r>
    </w:p>
    <w:p>
      <w:pPr>
        <w:pStyle w:val="ListBullet"/>
      </w:pPr>
      <w:r>
        <w:t>Clinical trial timeline risk - analyst assumes 3% revenue contribution from trials but provides no analysis of trial completion timing, regulatory approval risk, or competitive clinical data</w:t>
      </w:r>
    </w:p>
    <w:p>
      <w:pPr>
        <w:pStyle w:val="ListBullet"/>
      </w:pPr>
      <w:r>
        <w:t>International expansion execution risk beyond just investment costs - no consideration of regulatory approval timelines, reimbursement negotiations, or competitive responses in new markets</w:t>
      </w:r>
    </w:p>
    <w:p>
      <w:pPr>
        <w:pStyle w:val="KillCriteria"/>
      </w:pPr>
      <w:r>
        <w:t>What would change our mind: Unable to close gap: Specific dollar amounts for European expansion investments that CFO refused to disclose in Q3 2025</w:t>
      </w:r>
    </w:p>
    <w:p>
      <w:pPr>
        <w:pStyle w:val="SectionHeading"/>
      </w:pPr>
      <w:r>
        <w:t>Appendix</w:t>
      </w:r>
    </w:p>
    <w:p>
      <w:pPr>
        <w:pStyle w:val="SubHeading"/>
      </w:pPr>
      <w:r>
        <w:t>Business context:</w:t>
      </w:r>
    </w:p>
    <w:p>
      <w:r>
        <w:t>TransMedics provides organ preservation technology (OCS) and logistics services to expand utilization of donor organs for transplantation. The company operates a National OCS Program (NOP) in the U.S. that handles organ transport and preservation, generating revenue from both product sales and service fees.</w:t>
      </w:r>
    </w:p>
    <w:p>
      <w:pPr>
        <w:pStyle w:val="SubHeading"/>
      </w:pPr>
      <w:r>
        <w:t>Evidence gaps (research TODO):</w:t>
      </w:r>
    </w:p>
    <w:p>
      <w:pPr>
        <w:pStyle w:val="ListBullet"/>
      </w:pPr>
      <w:r>
        <w:t>Specific dollar amounts for European expansion investments that CFO refused to disclose in Q3 2025</w:t>
      </w:r>
    </w:p>
    <w:p>
      <w:pPr>
        <w:pStyle w:val="ListBullet"/>
      </w:pPr>
      <w:r>
        <w:t>Detailed breakdown of clinical trial patient enrollment and revenue per patient economics</w:t>
      </w:r>
    </w:p>
    <w:p>
      <w:pPr>
        <w:pStyle w:val="ListBullet"/>
      </w:pPr>
      <w:r>
        <w:t>Competitive dynamics in international markets and regulatory approval timelines</w:t>
      </w:r>
    </w:p>
    <w:p>
      <w:pPr>
        <w:pStyle w:val="ListBullet"/>
      </w:pPr>
      <w:r>
        <w:t>Seasonality patterns for international business vs U.S. operations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