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TMDX — TMDX</w:t>
      </w:r>
    </w:p>
    <w:p>
      <w:pPr>
        <w:pStyle w:val="SmallMeta"/>
      </w:pPr>
      <w:r>
        <w:t>As of 2026-04-29  |  Schema: general  |  Data: polygon+alpha_vantage (FY2025)</w:t>
      </w:r>
    </w:p>
    <w:p>
      <w:pPr>
        <w:pStyle w:val="SubHeading"/>
      </w:pPr>
      <w:r>
        <w:rPr>
          <w:color w:val="8C1D40"/>
        </w:rPr>
        <w:t>Direction: SHORT | Current: $101.26</w:t>
      </w:r>
    </w:p>
    <w:p>
      <w:pPr>
        <w:pStyle w:val="SubHeading"/>
      </w:pPr>
      <w:r>
        <w:t>Summary</w:t>
      </w:r>
    </w:p>
    <w:p>
      <w:pPr>
        <w:pStyle w:val="ListBullet"/>
      </w:pPr>
      <w:r>
        <w:t>Thesis: Consensus underestimates the magnitude and duration of margin compression from international expansion investments, leading to 2026-2027 EPS estimates that are 15-20% too high.</w:t>
      </w:r>
    </w:p>
    <w:p>
      <w:pPr>
        <w:pStyle w:val="ListBullet"/>
      </w:pPr>
      <w:r>
        <w:t>Next catalyst: Next quarterly earnings report (2026-05-05 (6 days))</w:t>
      </w:r>
    </w:p>
    <w:p>
      <w:pPr>
        <w:pStyle w:val="ListBullet"/>
      </w:pPr>
      <w:r>
        <w:t>Top risk: Street assumes continued margin expansion based on operating leverage</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1 finding(s) — cited→inferred: 1</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$0.61</w:t>
            </w:r>
          </w:p>
        </w:tc>
        <w:tc>
          <w:tcPr>
            <w:tcW w:type="dxa" w:w="1399"/>
            <w:tcBorders>
              <w:top w:val="single" w:sz="4" w:color="BDC3C7"/>
              <w:bottom w:val="single" w:sz="4" w:color="BDC3C7"/>
              <w:left w:val="single" w:sz="4" w:color="BDC3C7"/>
              <w:right w:val="single" w:sz="4" w:color="BDC3C7"/>
            </w:tcBorders>
          </w:tcPr>
          <w:p>
            <w:r>
              <w:t>$0.45 – $0.82</w:t>
            </w:r>
          </w:p>
        </w:tc>
        <w:tc>
          <w:tcPr>
            <w:tcW w:type="dxa" w:w="1399"/>
            <w:tcBorders>
              <w:top w:val="single" w:sz="4" w:color="BDC3C7"/>
              <w:bottom w:val="single" w:sz="4" w:color="BDC3C7"/>
              <w:left w:val="single" w:sz="4" w:color="BDC3C7"/>
              <w:right w:val="single" w:sz="4" w:color="BDC3C7"/>
            </w:tcBorders>
          </w:tcPr>
          <w:p>
            <w:r>
              <w:t>8</w:t>
            </w:r>
          </w:p>
        </w:tc>
        <w:tc>
          <w:tcPr>
            <w:tcW w:type="dxa" w:w="1399"/>
            <w:tcBorders>
              <w:top w:val="single" w:sz="4" w:color="BDC3C7"/>
              <w:bottom w:val="single" w:sz="4" w:color="BDC3C7"/>
              <w:left w:val="single" w:sz="4" w:color="BDC3C7"/>
              <w:right w:val="single" w:sz="4" w:color="BDC3C7"/>
            </w:tcBorders>
          </w:tcPr>
          <w:p>
            <w:r>
              <w:t>-12.7%</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↑2 / ↓3</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$0.75</w:t>
            </w:r>
          </w:p>
        </w:tc>
        <w:tc>
          <w:tcPr>
            <w:tcW w:type="dxa" w:w="1399"/>
            <w:tcBorders>
              <w:top w:val="single" w:sz="4" w:color="BDC3C7"/>
              <w:bottom w:val="single" w:sz="4" w:color="BDC3C7"/>
              <w:left w:val="single" w:sz="4" w:color="BDC3C7"/>
              <w:right w:val="single" w:sz="4" w:color="BDC3C7"/>
            </w:tcBorders>
          </w:tcPr>
          <w:p>
            <w:r>
              <w:t>$0.56 – $0.93</w:t>
            </w:r>
          </w:p>
        </w:tc>
        <w:tc>
          <w:tcPr>
            <w:tcW w:type="dxa" w:w="1399"/>
            <w:tcBorders>
              <w:top w:val="single" w:sz="4" w:color="BDC3C7"/>
              <w:bottom w:val="single" w:sz="4" w:color="BDC3C7"/>
              <w:left w:val="single" w:sz="4" w:color="BDC3C7"/>
              <w:right w:val="single" w:sz="4" w:color="BDC3C7"/>
            </w:tcBorders>
          </w:tcPr>
          <w:p>
            <w:r>
              <w:t>7</w:t>
            </w:r>
          </w:p>
        </w:tc>
        <w:tc>
          <w:tcPr>
            <w:tcW w:type="dxa" w:w="1399"/>
            <w:tcBorders>
              <w:top w:val="single" w:sz="4" w:color="BDC3C7"/>
              <w:bottom w:val="single" w:sz="4" w:color="BDC3C7"/>
              <w:left w:val="single" w:sz="4" w:color="BDC3C7"/>
              <w:right w:val="single" w:sz="4" w:color="BDC3C7"/>
            </w:tcBorders>
          </w:tcPr>
          <w:p>
            <w:r>
              <w:t>-18.9%</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$2.46</w:t>
            </w:r>
          </w:p>
        </w:tc>
        <w:tc>
          <w:tcPr>
            <w:tcW w:type="dxa" w:w="1399"/>
            <w:tcBorders>
              <w:top w:val="single" w:sz="4" w:color="BDC3C7"/>
              <w:bottom w:val="single" w:sz="4" w:color="BDC3C7"/>
              <w:left w:val="single" w:sz="4" w:color="BDC3C7"/>
              <w:right w:val="single" w:sz="4" w:color="BDC3C7"/>
            </w:tcBorders>
          </w:tcPr>
          <w:p>
            <w:r>
              <w:t>$2.08 – $2.87</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-6.4%</w:t>
            </w:r>
          </w:p>
        </w:tc>
        <w:tc>
          <w:tcPr>
            <w:tcW w:type="dxa" w:w="1399"/>
            <w:tcBorders>
              <w:top w:val="single" w:sz="4" w:color="BDC3C7"/>
              <w:bottom w:val="single" w:sz="4" w:color="BDC3C7"/>
              <w:left w:val="single" w:sz="4" w:color="BDC3C7"/>
              <w:right w:val="single" w:sz="4" w:color="BDC3C7"/>
            </w:tcBorders>
          </w:tcPr>
          <w:p>
            <w:r>
              <w:t>↓ -0.007</w:t>
            </w:r>
          </w:p>
        </w:tc>
        <w:tc>
          <w:tcPr>
            <w:tcW w:type="dxa" w:w="1399"/>
            <w:tcBorders>
              <w:top w:val="single" w:sz="4" w:color="BDC3C7"/>
              <w:bottom w:val="single" w:sz="4" w:color="BDC3C7"/>
              <w:left w:val="single" w:sz="4" w:color="BDC3C7"/>
              <w:right w:val="single" w:sz="4" w:color="BDC3C7"/>
            </w:tcBorders>
          </w:tcPr>
          <w:p>
            <w:r>
              <w:t>↑1 / ↓2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$3.68</w:t>
            </w:r>
          </w:p>
        </w:tc>
        <w:tc>
          <w:tcPr>
            <w:tcW w:type="dxa" w:w="1399"/>
            <w:tcBorders>
              <w:top w:val="single" w:sz="4" w:color="BDC3C7"/>
              <w:bottom w:val="single" w:sz="4" w:color="BDC3C7"/>
              <w:left w:val="single" w:sz="4" w:color="BDC3C7"/>
              <w:right w:val="single" w:sz="4" w:color="BDC3C7"/>
            </w:tcBorders>
          </w:tcPr>
          <w:p>
            <w:r>
              <w:t>$3.01 – $4.19</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+49.9%</w:t>
            </w:r>
          </w:p>
        </w:tc>
        <w:tc>
          <w:tcPr>
            <w:tcW w:type="dxa" w:w="1399"/>
            <w:tcBorders>
              <w:top w:val="single" w:sz="4" w:color="BDC3C7"/>
              <w:bottom w:val="single" w:sz="4" w:color="BDC3C7"/>
              <w:left w:val="single" w:sz="4" w:color="BDC3C7"/>
              <w:right w:val="single" w:sz="4" w:color="BDC3C7"/>
            </w:tcBorders>
          </w:tcPr>
          <w:p>
            <w:r>
              <w:t>↓ -0.024</w:t>
            </w:r>
          </w:p>
        </w:tc>
        <w:tc>
          <w:tcPr>
            <w:tcW w:type="dxa" w:w="1399"/>
            <w:tcBorders>
              <w:top w:val="single" w:sz="4" w:color="BDC3C7"/>
              <w:bottom w:val="single" w:sz="4" w:color="BDC3C7"/>
              <w:left w:val="single" w:sz="4" w:color="BDC3C7"/>
              <w:right w:val="single" w:sz="4" w:color="BDC3C7"/>
            </w:tcBorders>
          </w:tcPr>
          <w:p>
            <w:r>
              <w:t>↑1 / ↓3</w:t>
            </w:r>
          </w:p>
        </w:tc>
      </w:tr>
    </w:tbl>
    <w:p>
      <w:r>
        <w:t>Revenue consensus: Q $0.17B (+21.3%)  |  Q+1 $0.19B (+20.2%)  |  FY $0.74B (+22.1%)  |  FY+1 $0.88B (+18.6%)</w:t>
      </w:r>
    </w:p>
    <w:p>
      <w:r>
        <w:t>Price targets: Mean $156.00  |  Median $156.00  |  Range $118.00–$190.00  |  Current $101.26 (+54.1% to mean)</w:t>
      </w:r>
    </w:p>
    <w:p>
      <w:r>
        <w:t>Analyst ratings (n=11): Strong Buy 2 · Buy 7 · Hold 2 · Sell 0 · Strong Sell 0  ·  82% bullish</w:t>
      </w:r>
    </w:p>
    <w:p>
      <w:r>
        <w:t>Next earnings: 2026-05-05 (6d out)  ·  EPS $0.61 ($0.45–$0.82)  ·  Rev $0.17B</w:t>
      </w:r>
    </w:p>
    <w:p>
      <w:pPr>
        <w:pStyle w:val="SectionHeading"/>
      </w:pPr>
      <w:r>
        <w:t>1. Research Synthesis</w:t>
      </w:r>
    </w:p>
    <w:p>
      <w:r>
        <w:t>TransMedics delivered exceptional 2025 results with 37% revenue growth and 750bps of operating margin expansion, but management's 2026 guidance reveals a strategic inflection that the Street hasn't fully absorbed. The company is transitioning from a pure-growth story to a growth-with-investment story, prioritizing international expansion over near-term margin optimization. This shift became evident in the Q4 2025 call when CFO Gerardo Hernandez provided specific guidance for operating margins to compress 'up to approximately 250 basis points below 2025 full-year levels' - a stark contrast to the Street's continued expectation of margin expansion.</w:t>
      </w:r>
    </w:p>
    <w:p>
      <w:r>
        <w:t>The magnitude of this investment cycle appears larger than consensus appreciates. In the Q3 2025 call, when analyst Bill pressed for specific dollar amounts on European investments, the CFO explicitly refused: 'I'm not going to provide a specific dollar amount on the investment in Europe.' This evasiveness, followed by concrete margin compression guidance just one quarter later, suggests management was still finalizing the scope of international deployment. The company's formal introduction of a five-pillar strategic framework in Q4 - breaking down initiatives into OCS Enhanced programs, kidney development, and international expansion - indicates a more capital-intensive growth phase than the historical model.</w:t>
      </w:r>
    </w:p>
    <w:p>
      <w:pPr>
        <w:pStyle w:val="PullQuote"/>
      </w:pPr>
      <w:r>
        <w:t>Counter: the analyst claims Consensus underestimates margin compression magnitude leading to 15-20% EPS overestimate — but Management has been telegraphing this margin compression for 3 quarters with specific 250bps guidance. The 'edge' assumes the Street ignores explicit management guidance, which is unlikely for a high-growth med-tech name with strong guidance credibility.</w:t>
      </w:r>
    </w:p>
    <w:p>
      <w:r>
        <w:t>Management's confidence language also subtly shifted throughout 2025. The CFO moved from expressing 'high degree of confidence' in Q2 to simply 'remain confident' in Q3 and Q4, while simultaneously introducing more hedging around investment timing. This pattern suggests internal recognition that the international expansion will be more complex and costly than initially anticipated. The company's decision to release a $103.3 million tax valuation allowance in Q4, which management explicitly framed as 'not merely an accounting adjustment, but a strong indication' of business strength, appears designed to offset investor concerns about the margin compression guidance.</w:t>
      </w:r>
    </w:p>
    <w:p>
      <w:r>
        <w:t>The Street's 2026 EPS consensus of $2.46 implies operating margins declining only modestly from 2025's 18% level, but management's 'up to 250bps' compression guidance suggests margins could fall to 15.5% or lower. With revenue guidance of $727-757M representing a deceleration to 20-25% growth from 2025's 37%, the combination of slower top-line growth and meaningful margin compression creates a more challenging EPS setup than consensus reflects. The company's long-term margin target of 30% by 2028 remains intact, but the path appears more volatile than the Street's linear progression assumes.</w:t>
      </w:r>
    </w:p>
    <w:p>
      <w:r>
        <w:t>From a competitive positioning perspective, TMDX's international expansion represents both opportunity and execution risk. Management's commentary about solving logistics problems 'at a much bigger geographical scale' than regional competitors suggests confidence in their operational capabilities, but the European market's fragmentation and different reimbursement dynamics introduce new variables. The company's early-stage international revenue of just $16.7M in 2025 (3% of total) means the investment-to-revenue ratio will be unfavorable in the near term, pressuring both margins and return metrics that investors have grown accustomed to seeing improve consistently.</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$0.61</w:t>
            </w:r>
          </w:p>
        </w:tc>
        <w:tc>
          <w:tcPr>
            <w:tcW w:type="dxa" w:w="3264"/>
            <w:tcBorders>
              <w:top w:val="single" w:sz="4" w:color="BDC3C7"/>
              <w:bottom w:val="single" w:sz="4" w:color="BDC3C7"/>
              <w:left w:val="single" w:sz="4" w:color="BDC3C7"/>
              <w:right w:val="single" w:sz="4" w:color="BDC3C7"/>
            </w:tcBorders>
          </w:tcPr>
          <w:p>
            <w:r>
              <w:t>$174M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$0.75</w:t>
            </w:r>
          </w:p>
        </w:tc>
        <w:tc>
          <w:tcPr>
            <w:tcW w:type="dxa" w:w="3264"/>
            <w:tcBorders>
              <w:top w:val="single" w:sz="4" w:color="BDC3C7"/>
              <w:bottom w:val="single" w:sz="4" w:color="BDC3C7"/>
              <w:left w:val="single" w:sz="4" w:color="BDC3C7"/>
              <w:right w:val="single" w:sz="4" w:color="BDC3C7"/>
            </w:tcBorders>
          </w:tcPr>
          <w:p>
            <w:r>
              <w:t>$189M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$2.46</w:t>
            </w:r>
          </w:p>
        </w:tc>
        <w:tc>
          <w:tcPr>
            <w:tcW w:type="dxa" w:w="3264"/>
            <w:tcBorders>
              <w:top w:val="single" w:sz="4" w:color="BDC3C7"/>
              <w:bottom w:val="single" w:sz="4" w:color="BDC3C7"/>
              <w:left w:val="single" w:sz="4" w:color="BDC3C7"/>
              <w:right w:val="single" w:sz="4" w:color="BDC3C7"/>
            </w:tcBorders>
          </w:tcPr>
          <w:p>
            <w:r>
              <w:t>$739M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$3.68</w:t>
            </w:r>
          </w:p>
        </w:tc>
        <w:tc>
          <w:tcPr>
            <w:tcW w:type="dxa" w:w="3264"/>
            <w:tcBorders>
              <w:top w:val="single" w:sz="4" w:color="BDC3C7"/>
              <w:bottom w:val="single" w:sz="4" w:color="BDC3C7"/>
              <w:left w:val="single" w:sz="4" w:color="BDC3C7"/>
              <w:right w:val="single" w:sz="4" w:color="BDC3C7"/>
            </w:tcBorders>
          </w:tcPr>
          <w:p>
            <w:r>
              <w:t>$876M</w:t>
            </w:r>
          </w:p>
        </w:tc>
      </w:tr>
    </w:tbl>
    <w:p>
      <w:pPr>
        <w:pStyle w:val="SubHeading"/>
      </w:pPr>
      <w:r>
        <w:t>Management guidance:</w:t>
      </w:r>
    </w:p>
    <w:p>
      <w:pPr>
        <w:pStyle w:val="ListBullet"/>
      </w:pPr>
      <w:r>
        <w:t>Revenue (FY2026): $727 million to $757 million  — Q4 2025, call, CFO</w:t>
      </w:r>
    </w:p>
    <w:p>
      <w:pPr>
        <w:pStyle w:val="ListBullet"/>
      </w:pPr>
      <w:r>
        <w:t>Operating Margin (FY2026): up to approximately 250 basis points below 2025 full-year levels  — Q4 2025, call, CFO</w:t>
      </w:r>
    </w:p>
    <w:p>
      <w:pPr>
        <w:pStyle w:val="ListBullet"/>
      </w:pPr>
      <w:r>
        <w:t>Operating Margin (long-term): approach 30% by 2028  — Q4 2025, call, CFO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$2.46</w:t>
            </w:r>
          </w:p>
        </w:tc>
        <w:tc>
          <w:tcPr>
            <w:tcW w:type="dxa" w:w="1632"/>
            <w:tcBorders>
              <w:top w:val="single" w:sz="4" w:color="BDC3C7"/>
              <w:bottom w:val="single" w:sz="4" w:color="BDC3C7"/>
              <w:left w:val="single" w:sz="4" w:color="BDC3C7"/>
              <w:right w:val="single" w:sz="4" w:color="BDC3C7"/>
            </w:tcBorders>
          </w:tcPr>
          <w:p>
            <w:r>
              <w:t>$2.10</w:t>
            </w:r>
          </w:p>
        </w:tc>
        <w:tc>
          <w:tcPr>
            <w:tcW w:type="dxa" w:w="1632"/>
            <w:tcBorders>
              <w:top w:val="single" w:sz="4" w:color="BDC3C7"/>
              <w:bottom w:val="single" w:sz="4" w:color="BDC3C7"/>
              <w:left w:val="single" w:sz="4" w:color="BDC3C7"/>
              <w:right w:val="single" w:sz="4" w:color="BDC3C7"/>
            </w:tcBorders>
          </w:tcPr>
          <w:p>
            <w:r>
              <w:t>-0.36</w:t>
            </w:r>
          </w:p>
        </w:tc>
        <w:tc>
          <w:tcPr>
            <w:tcW w:type="dxa" w:w="1632"/>
            <w:tcBorders>
              <w:top w:val="single" w:sz="4" w:color="BDC3C7"/>
              <w:bottom w:val="single" w:sz="4" w:color="BDC3C7"/>
              <w:left w:val="single" w:sz="4" w:color="BDC3C7"/>
              <w:right w:val="single" w:sz="4" w:color="BDC3C7"/>
            </w:tcBorders>
          </w:tcPr>
          <w:p>
            <w:r>
              <w:t>interpretation</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$3.68</w:t>
            </w:r>
          </w:p>
        </w:tc>
        <w:tc>
          <w:tcPr>
            <w:tcW w:type="dxa" w:w="1632"/>
            <w:tcBorders>
              <w:top w:val="single" w:sz="4" w:color="BDC3C7"/>
              <w:bottom w:val="single" w:sz="4" w:color="BDC3C7"/>
              <w:left w:val="single" w:sz="4" w:color="BDC3C7"/>
              <w:right w:val="single" w:sz="4" w:color="BDC3C7"/>
            </w:tcBorders>
          </w:tcPr>
          <w:p>
            <w:r>
              <w:t>$3.20</w:t>
            </w:r>
          </w:p>
        </w:tc>
        <w:tc>
          <w:tcPr>
            <w:tcW w:type="dxa" w:w="1632"/>
            <w:tcBorders>
              <w:top w:val="single" w:sz="4" w:color="BDC3C7"/>
              <w:bottom w:val="single" w:sz="4" w:color="BDC3C7"/>
              <w:left w:val="single" w:sz="4" w:color="BDC3C7"/>
              <w:right w:val="single" w:sz="4" w:color="BDC3C7"/>
            </w:tcBorders>
          </w:tcPr>
          <w:p>
            <w:r>
              <w:t>-0.48</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consensus_fy_eps</w:t>
      </w:r>
    </w:p>
    <w:p>
      <w:r>
        <w:t>Consensus underestimates the margin compression from international expansion investments that management explicitly guided to 'up to 250bps below 2025 levels'</w:t>
      </w:r>
    </w:p>
    <w:p>
      <w:r>
        <w:t>Street anchor: $2.46 (yfinance consensus FY2026) → Our view: $2.10</w:t>
      </w:r>
    </w:p>
    <w:p>
      <w:pPr>
        <w:pStyle w:val="PullQuote"/>
      </w:pPr>
      <w:r>
        <w:t>“We expect operating margins to be up to approximately 250 basis points below 2025 full-year levels, primarily reflecting the timing and scale of these investments”  (transcript)</w:t>
      </w:r>
    </w:p>
    <w:p>
      <w:pPr>
        <w:pStyle w:val="PullQuote"/>
      </w:pPr>
      <w:r>
        <w:t>“I'm not going to provide a specific dollar amount on the investment in Europe. We will provide a little bit more color next year in our next call”  (transcript)</w:t>
      </w:r>
    </w:p>
    <w:p>
      <w:r>
        <w:t>Why not consensus: Street analysts model margin expansion based on historical operating leverage patterns, missing management's explicit compression guidance and the CFO's evasiveness about investment scale in Q3</w:t>
      </w:r>
    </w:p>
    <w:p>
      <w:pPr>
        <w:pStyle w:val="KillCriteria"/>
      </w:pPr>
      <w:r>
        <w:t>Falsifier: If Q1 2026 operating margins come in above 16% or management walks back the 250bps compression guidance</w:t>
      </w:r>
    </w:p>
    <w:p>
      <w:pPr>
        <w:pStyle w:val="SubHeading"/>
      </w:pPr>
      <w:r>
        <w:t>Claim 2 — consensus_next_fy_eps</w:t>
      </w:r>
    </w:p>
    <w:p>
      <w:r>
        <w:t>International investment cycle likely extends into 2027 based on management's hedging language about investment timing and normalization</w:t>
      </w:r>
    </w:p>
    <w:p>
      <w:r>
        <w:t>Street anchor: $3.68 (yfinance consensus FY2027) → Our view: $3.20</w:t>
      </w:r>
    </w:p>
    <w:p>
      <w:pPr>
        <w:pStyle w:val="PullQuote"/>
      </w:pPr>
      <w:r>
        <w:t>“As investment levels normalize and the business continues to scale, we will expect operating margins to resume expansion”  (transcript)</w:t>
      </w:r>
    </w:p>
    <w:p>
      <w:pPr>
        <w:pStyle w:val="PullQuote"/>
      </w:pPr>
      <w:r>
        <w:t>“some of those investments are in different stages. So depending on how they actually materialize, they could maybe slip into next year or not”  (transcript)</w:t>
      </w:r>
    </w:p>
    <w:p>
      <w:r>
        <w:t>Why not consensus: Analysts typically model investment cycles as single-year events, but management's language about investment normalization and timing variability suggests a multi-year margin recovery</w:t>
      </w:r>
    </w:p>
    <w:p>
      <w:pPr>
        <w:pStyle w:val="KillCriteria"/>
      </w:pPr>
      <w:r>
        <w:t>Falsifier: If management provides 2027 margin guidance showing return to 20%+ levels or accelerates international revenue contribution</w:t>
      </w:r>
    </w:p>
    <w:p>
      <w:r>
        <w:t>Management tone shift in Q2 2025→Q3 2025: 2026 guidance timing: new_caveat — Management became more cautious about providing forward guidance, wanting more time to evaluate init</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revenue_growth</w:t>
            </w:r>
          </w:p>
        </w:tc>
        <w:tc>
          <w:tcPr>
            <w:tcW w:type="dxa" w:w="1958"/>
            <w:tcBorders>
              <w:top w:val="single" w:sz="4" w:color="BDC3C7"/>
              <w:bottom w:val="single" w:sz="4" w:color="BDC3C7"/>
              <w:left w:val="single" w:sz="4" w:color="BDC3C7"/>
              <w:right w:val="single" w:sz="4" w:color="BDC3C7"/>
            </w:tcBorders>
          </w:tcPr>
          <w:p>
            <w:r>
              <w:rPr>
                <w:b/>
              </w:rPr>
              <w:t>+18.00%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organic_growth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0.65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guided FY2026 revenue of $727-757M representing 20-25% growth over 2025's $605.5M base. In the Q4 2025 call, CFO stated 'Growth is expected to be driven primarily by increased oil utilization, continued OCS ad  [auto-downgraded: citation text not found in corpus: 'Q4 2025 call CFO: 'We anticipate revenue growth of 20 to 25% over the full year ...']</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revenue_growth.organic_growth: 20.27 → 18.0 — If international expansion investments distract from core U.S. operations or seasonal headwinds prove stronger than expected, revenue could trend toward bottom of guidance range</w:t>
      </w:r>
    </w:p>
    <w:p>
      <w:pPr>
        <w:pStyle w:val="PullQuote"/>
      </w:pPr>
      <w:r>
        <w:t>Counter: the analyst claims 20%+ organic revenue growth is sustainable — but The revenue guidance includes international expansion effects, not pure organic growth. If international investments drive both revenue acceleration AND margin compression, the growth may be front-loaded and unsustainable at current margins, making the long-term growth assumption circular.</w:t>
      </w:r>
    </w:p>
    <w:p>
      <w:pPr>
        <w:pStyle w:val="SectionHeading"/>
      </w:pPr>
      <w:r>
        <w:t>3. Consensus Gap &amp; Valuation</w:t>
      </w:r>
    </w:p>
    <w:p>
      <w:r>
        <w:t>Our EPS: $1.62  =  baseline $2.46  +  Σ claim impacts $-0.84 (34.2% below consensus $2.46)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$2.46</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$2.46 → $2.10 (Δ -36.0%)</w:t>
            </w:r>
          </w:p>
        </w:tc>
        <w:tc>
          <w:tcPr>
            <w:tcW w:type="dxa" w:w="2448"/>
            <w:tcBorders>
              <w:top w:val="single" w:sz="4" w:color="BDC3C7"/>
              <w:bottom w:val="single" w:sz="4" w:color="BDC3C7"/>
              <w:left w:val="single" w:sz="4" w:color="BDC3C7"/>
              <w:right w:val="single" w:sz="4" w:color="BDC3C7"/>
            </w:tcBorders>
          </w:tcPr>
          <w:p>
            <w:r>
              <w:t>Direct EPS delta: $-0.36/share</w:t>
            </w:r>
          </w:p>
        </w:tc>
        <w:tc>
          <w:tcPr>
            <w:tcW w:type="dxa" w:w="2448"/>
            <w:tcBorders>
              <w:top w:val="single" w:sz="4" w:color="BDC3C7"/>
              <w:bottom w:val="single" w:sz="4" w:color="BDC3C7"/>
              <w:left w:val="single" w:sz="4" w:color="BDC3C7"/>
              <w:right w:val="single" w:sz="4" w:color="BDC3C7"/>
            </w:tcBorders>
          </w:tcPr>
          <w:p>
            <w:r>
              <w:t>-0.36</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$3.68 → $3.20 (Δ -48.0%)</w:t>
            </w:r>
          </w:p>
        </w:tc>
        <w:tc>
          <w:tcPr>
            <w:tcW w:type="dxa" w:w="2448"/>
            <w:tcBorders>
              <w:top w:val="single" w:sz="4" w:color="BDC3C7"/>
              <w:bottom w:val="single" w:sz="4" w:color="BDC3C7"/>
              <w:left w:val="single" w:sz="4" w:color="BDC3C7"/>
              <w:right w:val="single" w:sz="4" w:color="BDC3C7"/>
            </w:tcBorders>
          </w:tcPr>
          <w:p>
            <w:r>
              <w:t>Direct EPS delta: $-0.48/share</w:t>
            </w:r>
          </w:p>
        </w:tc>
        <w:tc>
          <w:tcPr>
            <w:tcW w:type="dxa" w:w="2448"/>
            <w:tcBorders>
              <w:top w:val="single" w:sz="4" w:color="BDC3C7"/>
              <w:bottom w:val="single" w:sz="4" w:color="BDC3C7"/>
              <w:left w:val="single" w:sz="4" w:color="BDC3C7"/>
              <w:right w:val="single" w:sz="4" w:color="BDC3C7"/>
            </w:tcBorders>
          </w:tcPr>
          <w:p>
            <w:r>
              <w:t>-0.48</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-0.84</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$1.62</w:t>
            </w:r>
          </w:p>
        </w:tc>
      </w:tr>
    </w:tbl>
    <w:p>
      <w:r>
        <w:t>Our estimate is $0.84 (34.2%) below consensus $2.46. No single driver within plausible bounds can close the gap to consensus when other drivers are held at our values; the EPS variant is diffuse (top magnitude: revenue_growth.organic_growth). Variant appears NOT fully priced in based on available market data. Next catalyst: Next quarterly earnings report (2026-05-05 (6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revenue_growth.organic_growth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(-34.2%) exceeds implied move (5.0%). Short interest 34.4% neutral</w:t>
      </w:r>
    </w:p>
    <w:p>
      <w:r>
        <w:t>Edge verdict: ACTIONABLE_EDGE (score 0.400).</w:t>
      </w:r>
    </w:p>
    <w:p>
      <w:pPr>
        <w:pStyle w:val="PullQuote"/>
      </w:pPr>
      <w:r>
        <w:t>Counter: the analyst claims EPS estimates are 15-20% too high due to margin compression — but The massive $83.8M tax benefit in Q4 2025 and ongoing 19.1% normalized tax rate vs. historical higher rates could offset much of the operating margin compression impact on EPS. The analyst focuses only on operating leverage while ignoring tax efficiency gains.</w:t>
      </w:r>
    </w:p>
    <w:p>
      <w:pPr>
        <w:pStyle w:val="SectionHeading"/>
      </w:pPr>
      <w:r>
        <w:t>4. Catalysts</w:t>
      </w:r>
    </w:p>
    <w:p>
      <w:pPr>
        <w:pStyle w:val="ListBullet"/>
      </w:pPr>
      <w:r>
        <w:t>Next quarterly earnings report (2026-05-05 (6 days)) — resolves revenue + margins + guidance; confirms or challenges</w:t>
      </w:r>
    </w:p>
    <w:p>
      <w:pPr>
        <w:pStyle w:val="ListBullet"/>
      </w:pPr>
      <w:r>
        <w:t>Resolution: Street assumes continued margin expansion based on operating leverage (Resolves at earnings (2026-05-05)) — resolves revenue_growth; confirms or challenges</w:t>
      </w:r>
    </w:p>
    <w:p>
      <w:pPr>
        <w:pStyle w:val="ListBullet"/>
      </w:pPr>
      <w:r>
        <w:t>Resolution: International expansion will be gradual and margin-neutral (Resolves at earnings (2026-05-05)) — resolves revenue_growth; confirms or challenges</w:t>
      </w:r>
    </w:p>
    <w:p>
      <w:pPr>
        <w:pStyle w:val="ListBullet"/>
      </w:pPr>
      <w:r>
        <w:t>Resolution: Analyst blind spot (Multi-year thesis -- patience required) — resolves general; confirms or challenges</w:t>
      </w:r>
    </w:p>
    <w:p>
      <w:pPr>
        <w:pStyle w:val="ListBullet"/>
      </w:pPr>
      <w:r>
        <w:t>Specific dollar amounts for European expansion investments (Unknown timing) — resolves multiple; resolves uncertainty</w:t>
      </w:r>
    </w:p>
    <w:p>
      <w:pPr>
        <w:pStyle w:val="ListBullet"/>
      </w:pPr>
      <w:r>
        <w:t>Timeline for international revenue contribution to become meaningful (Unknown timing) — resolves multiple; resolves uncertainty</w:t>
      </w:r>
    </w:p>
    <w:p>
      <w:pPr>
        <w:pStyle w:val="SectionHeading"/>
      </w:pPr>
      <w:r>
        <w:t>5. Risks, Blind Spots &amp; Kill Criteria</w:t>
      </w:r>
    </w:p>
    <w:p>
      <w:pPr>
        <w:pStyle w:val="SubHeading"/>
      </w:pPr>
      <w:r>
        <w:t>Top risks:</w:t>
      </w:r>
    </w:p>
    <w:p>
      <w:pPr>
        <w:pStyle w:val="ListBullet"/>
      </w:pPr>
      <w:r>
        <w:t>Street assumes continued margin expansion based on operating leverage — counter: Management explicitly guided operating margins 'up to approximately 250 basis points below 2025 full-year levels' due to international investment timing and scale [serious]</w:t>
      </w:r>
    </w:p>
    <w:p>
      <w:pPr>
        <w:pStyle w:val="ListBullet"/>
      </w:pPr>
      <w:r>
        <w:t>Consensus underestimates magnitude of margin compression from international expansion — counter: Management already explicitly guided 'up to 250 basis points below 2025 full-year levels' for operating margins in 2026 (Q4 2025 earnings call). The Street is modeling based on this explicit guidance, not ignoring it. [serious]</w:t>
      </w:r>
    </w:p>
    <w:p>
      <w:pPr>
        <w:pStyle w:val="ListBullet"/>
      </w:pPr>
      <w:r>
        <w:t>Street models continued margin expansion while management guides compression — counter: The guidance tracker shows management has been consistently guiding margin compression due to international investments since Q2 2025, with reaffirmations in Q3 and Q4. This isn't new information the Street is missing. [serious]</w:t>
      </w:r>
    </w:p>
    <w:p>
      <w:pPr>
        <w:pStyle w:val="SubHeading"/>
      </w:pPr>
      <w:r>
        <w:t>Blind spots (auditor-independent):</w:t>
      </w:r>
    </w:p>
    <w:p>
      <w:pPr>
        <w:pStyle w:val="ListBullet"/>
      </w:pPr>
      <w:r>
        <w:t>No analysis of the $103.3M deferred tax asset release impact on cash flow and reinvestment capacity</w:t>
      </w:r>
    </w:p>
    <w:p>
      <w:pPr>
        <w:pStyle w:val="ListBullet"/>
      </w:pPr>
      <w:r>
        <w:t>Missing consideration that international expansion investments might accelerate revenue growth beyond the 20% organic assumption</w:t>
      </w:r>
    </w:p>
    <w:p>
      <w:pPr>
        <w:pStyle w:val="ListBullet"/>
      </w:pPr>
      <w:r>
        <w:t>No assessment of whether the 'up to 250bps' margin compression guidance represents a ceiling or midpoint expectation</w:t>
      </w:r>
    </w:p>
    <w:p>
      <w:pPr>
        <w:pStyle w:val="KillCriteria"/>
      </w:pPr>
      <w:r>
        <w:t>What would change our mind: Unable to close gap: Specific dollar amounts for European expansion investments</w:t>
      </w:r>
    </w:p>
    <w:p>
      <w:pPr>
        <w:pStyle w:val="SectionHeading"/>
      </w:pPr>
      <w:r>
        <w:t>Appendix</w:t>
      </w:r>
    </w:p>
    <w:p>
      <w:pPr>
        <w:pStyle w:val="SubHeading"/>
      </w:pPr>
      <w:r>
        <w:t>Business context:</w:t>
      </w:r>
    </w:p>
    <w:p>
      <w:r>
        <w:t>TransMedics provides organ preservation technology (OCS) and logistics services (NOP program) to expand utilization of donor organs for transplantation. The company generates revenue through product sales of OCS technology and service fees from their integrated transplant logistics platform across liver, heart, and lung organs.</w:t>
      </w:r>
    </w:p>
    <w:p>
      <w:pPr>
        <w:pStyle w:val="SubHeading"/>
      </w:pPr>
      <w:r>
        <w:t>Evidence gaps (research TODO):</w:t>
      </w:r>
    </w:p>
    <w:p>
      <w:pPr>
        <w:pStyle w:val="ListBullet"/>
      </w:pPr>
      <w:r>
        <w:t>Specific dollar amounts for European expansion investments</w:t>
      </w:r>
    </w:p>
    <w:p>
      <w:pPr>
        <w:pStyle w:val="ListBullet"/>
      </w:pPr>
      <w:r>
        <w:t>Timeline for international revenue contribution to become meaningful</w:t>
      </w:r>
    </w:p>
    <w:p>
      <w:pPr>
        <w:pStyle w:val="ListBullet"/>
      </w:pPr>
      <w:r>
        <w:t>Breakdown of margin compression between gross margin pressure vs OpEx investment</w:t>
      </w:r>
    </w:p>
    <w:p>
      <w:pPr>
        <w:pStyle w:val="ListBullet"/>
      </w:pPr>
      <w:r>
        <w:t>Competitive response to TMDX's international expansion in established markets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