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TMDX — TMDX</w:t>
      </w:r>
    </w:p>
    <w:p>
      <w:pPr>
        <w:pStyle w:val="SmallMeta"/>
      </w:pPr>
      <w:r>
        <w:t>As of 2026-05-05  |  Schema: general  |  Data: polygon+alpha_vantage (FY2025)</w:t>
      </w:r>
    </w:p>
    <w:p>
      <w:pPr>
        <w:pStyle w:val="SubHeading"/>
      </w:pPr>
      <w:r>
        <w:rPr>
          <w:color w:val="8C1D40"/>
        </w:rPr>
        <w:t>Direction: LONG | Current: $94.93</w:t>
      </w:r>
    </w:p>
    <w:p>
      <w:pPr>
        <w:pStyle w:val="SubHeading"/>
      </w:pPr>
      <w:r>
        <w:t>Summary</w:t>
      </w:r>
    </w:p>
    <w:p>
      <w:pPr>
        <w:pStyle w:val="ListBullet"/>
      </w:pPr>
      <w:r>
        <w:t>Thesis: Management's 2026 revenue guidance appears achievable but operating margin compression may be deeper than guided due to accelerated European investment timing and clinical trial ramp costs.</w:t>
      </w:r>
    </w:p>
    <w:p>
      <w:pPr>
        <w:pStyle w:val="ListBullet"/>
      </w:pPr>
      <w:r>
        <w:t>Next catalyst: Next quarterly earnings report (2026-05-05 (1 days))</w:t>
      </w:r>
    </w:p>
    <w:p>
      <w:pPr>
        <w:pStyle w:val="ListBullet"/>
      </w:pPr>
      <w:r>
        <w:t>Top risk: European expansion will drive meaningful revenue growth in 2026</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'med_devices'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1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$0.61</w:t>
            </w:r>
          </w:p>
        </w:tc>
        <w:tc>
          <w:tcPr>
            <w:tcW w:type="dxa" w:w="1399"/>
            <w:tcBorders>
              <w:top w:val="single" w:sz="4" w:color="BDC3C7"/>
              <w:bottom w:val="single" w:sz="4" w:color="BDC3C7"/>
              <w:left w:val="single" w:sz="4" w:color="BDC3C7"/>
              <w:right w:val="single" w:sz="4" w:color="BDC3C7"/>
            </w:tcBorders>
          </w:tcPr>
          <w:p>
            <w:r>
              <w:t>$0.45 – $0.82</w:t>
            </w:r>
          </w:p>
        </w:tc>
        <w:tc>
          <w:tcPr>
            <w:tcW w:type="dxa" w:w="1399"/>
            <w:tcBorders>
              <w:top w:val="single" w:sz="4" w:color="BDC3C7"/>
              <w:bottom w:val="single" w:sz="4" w:color="BDC3C7"/>
              <w:left w:val="single" w:sz="4" w:color="BDC3C7"/>
              <w:right w:val="single" w:sz="4" w:color="BDC3C7"/>
            </w:tcBorders>
          </w:tcPr>
          <w:p>
            <w:r>
              <w:t>8</w:t>
            </w:r>
          </w:p>
        </w:tc>
        <w:tc>
          <w:tcPr>
            <w:tcW w:type="dxa" w:w="1399"/>
            <w:tcBorders>
              <w:top w:val="single" w:sz="4" w:color="BDC3C7"/>
              <w:bottom w:val="single" w:sz="4" w:color="BDC3C7"/>
              <w:left w:val="single" w:sz="4" w:color="BDC3C7"/>
              <w:right w:val="single" w:sz="4" w:color="BDC3C7"/>
            </w:tcBorders>
          </w:tcPr>
          <w:p>
            <w:r>
              <w:t>-12.7%</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↑2 / ↓3</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$0.75</w:t>
            </w:r>
          </w:p>
        </w:tc>
        <w:tc>
          <w:tcPr>
            <w:tcW w:type="dxa" w:w="1399"/>
            <w:tcBorders>
              <w:top w:val="single" w:sz="4" w:color="BDC3C7"/>
              <w:bottom w:val="single" w:sz="4" w:color="BDC3C7"/>
              <w:left w:val="single" w:sz="4" w:color="BDC3C7"/>
              <w:right w:val="single" w:sz="4" w:color="BDC3C7"/>
            </w:tcBorders>
          </w:tcPr>
          <w:p>
            <w:r>
              <w:t>$0.56 – $0.93</w:t>
            </w:r>
          </w:p>
        </w:tc>
        <w:tc>
          <w:tcPr>
            <w:tcW w:type="dxa" w:w="1399"/>
            <w:tcBorders>
              <w:top w:val="single" w:sz="4" w:color="BDC3C7"/>
              <w:bottom w:val="single" w:sz="4" w:color="BDC3C7"/>
              <w:left w:val="single" w:sz="4" w:color="BDC3C7"/>
              <w:right w:val="single" w:sz="4" w:color="BDC3C7"/>
            </w:tcBorders>
          </w:tcPr>
          <w:p>
            <w:r>
              <w:t>7</w:t>
            </w:r>
          </w:p>
        </w:tc>
        <w:tc>
          <w:tcPr>
            <w:tcW w:type="dxa" w:w="1399"/>
            <w:tcBorders>
              <w:top w:val="single" w:sz="4" w:color="BDC3C7"/>
              <w:bottom w:val="single" w:sz="4" w:color="BDC3C7"/>
              <w:left w:val="single" w:sz="4" w:color="BDC3C7"/>
              <w:right w:val="single" w:sz="4" w:color="BDC3C7"/>
            </w:tcBorders>
          </w:tcPr>
          <w:p>
            <w:r>
              <w:t>-18.9%</w:t>
            </w:r>
          </w:p>
        </w:tc>
        <w:tc>
          <w:tcPr>
            <w:tcW w:type="dxa" w:w="1399"/>
            <w:tcBorders>
              <w:top w:val="single" w:sz="4" w:color="BDC3C7"/>
              <w:bottom w:val="single" w:sz="4" w:color="BDC3C7"/>
              <w:left w:val="single" w:sz="4" w:color="BDC3C7"/>
              <w:right w:val="single" w:sz="4" w:color="BDC3C7"/>
            </w:tcBorders>
          </w:tcPr>
          <w:p>
            <w:r>
              <w:t>↑ +0.006</w:t>
            </w:r>
          </w:p>
        </w:tc>
        <w:tc>
          <w:tcPr>
            <w:tcW w:type="dxa" w:w="1399"/>
            <w:tcBorders>
              <w:top w:val="single" w:sz="4" w:color="BDC3C7"/>
              <w:bottom w:val="single" w:sz="4" w:color="BDC3C7"/>
              <w:left w:val="single" w:sz="4" w:color="BDC3C7"/>
              <w:right w:val="single" w:sz="4" w:color="BDC3C7"/>
            </w:tcBorders>
          </w:tcPr>
          <w:p>
            <w:r>
              <w:t>↑2 / ↓2</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$2.46</w:t>
            </w:r>
          </w:p>
        </w:tc>
        <w:tc>
          <w:tcPr>
            <w:tcW w:type="dxa" w:w="1399"/>
            <w:tcBorders>
              <w:top w:val="single" w:sz="4" w:color="BDC3C7"/>
              <w:bottom w:val="single" w:sz="4" w:color="BDC3C7"/>
              <w:left w:val="single" w:sz="4" w:color="BDC3C7"/>
              <w:right w:val="single" w:sz="4" w:color="BDC3C7"/>
            </w:tcBorders>
          </w:tcPr>
          <w:p>
            <w:r>
              <w:t>$2.08 – $2.87</w:t>
            </w:r>
          </w:p>
        </w:tc>
        <w:tc>
          <w:tcPr>
            <w:tcW w:type="dxa" w:w="1399"/>
            <w:tcBorders>
              <w:top w:val="single" w:sz="4" w:color="BDC3C7"/>
              <w:bottom w:val="single" w:sz="4" w:color="BDC3C7"/>
              <w:left w:val="single" w:sz="4" w:color="BDC3C7"/>
              <w:right w:val="single" w:sz="4" w:color="BDC3C7"/>
            </w:tcBorders>
          </w:tcPr>
          <w:p>
            <w:r>
              <w:t>9</w:t>
            </w:r>
          </w:p>
        </w:tc>
        <w:tc>
          <w:tcPr>
            <w:tcW w:type="dxa" w:w="1399"/>
            <w:tcBorders>
              <w:top w:val="single" w:sz="4" w:color="BDC3C7"/>
              <w:bottom w:val="single" w:sz="4" w:color="BDC3C7"/>
              <w:left w:val="single" w:sz="4" w:color="BDC3C7"/>
              <w:right w:val="single" w:sz="4" w:color="BDC3C7"/>
            </w:tcBorders>
          </w:tcPr>
          <w:p>
            <w:r>
              <w:t>-6.4%</w:t>
            </w:r>
          </w:p>
        </w:tc>
        <w:tc>
          <w:tcPr>
            <w:tcW w:type="dxa" w:w="1399"/>
            <w:tcBorders>
              <w:top w:val="single" w:sz="4" w:color="BDC3C7"/>
              <w:bottom w:val="single" w:sz="4" w:color="BDC3C7"/>
              <w:left w:val="single" w:sz="4" w:color="BDC3C7"/>
              <w:right w:val="single" w:sz="4" w:color="BDC3C7"/>
            </w:tcBorders>
          </w:tcPr>
          <w:p>
            <w:r>
              <w:t>↓ -0.007</w:t>
            </w:r>
          </w:p>
        </w:tc>
        <w:tc>
          <w:tcPr>
            <w:tcW w:type="dxa" w:w="1399"/>
            <w:tcBorders>
              <w:top w:val="single" w:sz="4" w:color="BDC3C7"/>
              <w:bottom w:val="single" w:sz="4" w:color="BDC3C7"/>
              <w:left w:val="single" w:sz="4" w:color="BDC3C7"/>
              <w:right w:val="single" w:sz="4" w:color="BDC3C7"/>
            </w:tcBorders>
          </w:tcPr>
          <w:p>
            <w:r>
              <w:t>↑1 / ↓2</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$3.68</w:t>
            </w:r>
          </w:p>
        </w:tc>
        <w:tc>
          <w:tcPr>
            <w:tcW w:type="dxa" w:w="1399"/>
            <w:tcBorders>
              <w:top w:val="single" w:sz="4" w:color="BDC3C7"/>
              <w:bottom w:val="single" w:sz="4" w:color="BDC3C7"/>
              <w:left w:val="single" w:sz="4" w:color="BDC3C7"/>
              <w:right w:val="single" w:sz="4" w:color="BDC3C7"/>
            </w:tcBorders>
          </w:tcPr>
          <w:p>
            <w:r>
              <w:t>$3.01 – $4.19</w:t>
            </w:r>
          </w:p>
        </w:tc>
        <w:tc>
          <w:tcPr>
            <w:tcW w:type="dxa" w:w="1399"/>
            <w:tcBorders>
              <w:top w:val="single" w:sz="4" w:color="BDC3C7"/>
              <w:bottom w:val="single" w:sz="4" w:color="BDC3C7"/>
              <w:left w:val="single" w:sz="4" w:color="BDC3C7"/>
              <w:right w:val="single" w:sz="4" w:color="BDC3C7"/>
            </w:tcBorders>
          </w:tcPr>
          <w:p>
            <w:r>
              <w:t>9</w:t>
            </w:r>
          </w:p>
        </w:tc>
        <w:tc>
          <w:tcPr>
            <w:tcW w:type="dxa" w:w="1399"/>
            <w:tcBorders>
              <w:top w:val="single" w:sz="4" w:color="BDC3C7"/>
              <w:bottom w:val="single" w:sz="4" w:color="BDC3C7"/>
              <w:left w:val="single" w:sz="4" w:color="BDC3C7"/>
              <w:right w:val="single" w:sz="4" w:color="BDC3C7"/>
            </w:tcBorders>
          </w:tcPr>
          <w:p>
            <w:r>
              <w:t>+49.9%</w:t>
            </w:r>
          </w:p>
        </w:tc>
        <w:tc>
          <w:tcPr>
            <w:tcW w:type="dxa" w:w="1399"/>
            <w:tcBorders>
              <w:top w:val="single" w:sz="4" w:color="BDC3C7"/>
              <w:bottom w:val="single" w:sz="4" w:color="BDC3C7"/>
              <w:left w:val="single" w:sz="4" w:color="BDC3C7"/>
              <w:right w:val="single" w:sz="4" w:color="BDC3C7"/>
            </w:tcBorders>
          </w:tcPr>
          <w:p>
            <w:r>
              <w:t>↓ -0.024</w:t>
            </w:r>
          </w:p>
        </w:tc>
        <w:tc>
          <w:tcPr>
            <w:tcW w:type="dxa" w:w="1399"/>
            <w:tcBorders>
              <w:top w:val="single" w:sz="4" w:color="BDC3C7"/>
              <w:bottom w:val="single" w:sz="4" w:color="BDC3C7"/>
              <w:left w:val="single" w:sz="4" w:color="BDC3C7"/>
              <w:right w:val="single" w:sz="4" w:color="BDC3C7"/>
            </w:tcBorders>
          </w:tcPr>
          <w:p>
            <w:r>
              <w:t>↑1 / ↓3</w:t>
            </w:r>
          </w:p>
        </w:tc>
      </w:tr>
    </w:tbl>
    <w:p>
      <w:r>
        <w:t>Revenue consensus: Q $0.17B (+21.3%)  |  Q+1 $0.19B (+20.2%)  |  FY $0.74B (+22.1%)  |  FY+1 $0.88B (+18.6%)</w:t>
      </w:r>
    </w:p>
    <w:p>
      <w:r>
        <w:t>Price targets: Mean $156.00  |  Median $156.00  |  Range $118.00–$190.00  |  Current $95.28 (+63.7% to mean)</w:t>
      </w:r>
    </w:p>
    <w:p>
      <w:r>
        <w:t>Analyst ratings (n=11): Strong Buy 2 · Buy 7 · Hold 2 · Sell 0 · Strong Sell 0  ·  82% bullish</w:t>
      </w:r>
    </w:p>
    <w:p>
      <w:r>
        <w:t>Next earnings: 2026-05-05 (0d out)  ·  EPS $0.61 ($0.45–$0.82)  ·  Rev $0.17B</w:t>
      </w:r>
    </w:p>
    <w:p>
      <w:pPr>
        <w:pStyle w:val="SectionHeading"/>
      </w:pPr>
      <w:r>
        <w:t>1. Research Synthesis</w:t>
      </w:r>
    </w:p>
    <w:p>
      <w:r>
        <w:t>TransMedics delivered strong Q4 2025 results with total revenue of $605.5M (37% growth) and operating margins expanding to 18% from 8.5% in 2024, demonstrating the operating leverage inherent in their model. However, the forward setup presents a more complex picture as management guides to significant margin compression in 2026 while pursuing aggressive international expansion.</w:t>
      </w:r>
    </w:p>
    <w:p>
      <w:pPr>
        <w:pStyle w:val="ListBullet"/>
      </w:pPr>
      <w:r>
        <w:rPr>
          <w:i/>
        </w:rPr>
        <w:t>→ Research confirms: TransMedics Q4 2025 full-year revenue of $605.5M with 37% growth confirmed. Operating margin of 18% for full year 2025 confirmed; 2024 operating margin was 8.5% (calculated from $37.9M operating profit on $441.5M revenue). (transmedics.com)</w:t>
      </w:r>
    </w:p>
    <w:p>
      <w:r>
        <w:t>The revenue trajectory appears solid with management guiding FY2026 to $727-757M (20-25% growth), driven by continued organ utilization expansion and OCS adoption. In the Q4 2025 call, CFO Hernandez stated 'Growth is expected to be driven primarily by increased oil utilization, continued OCS adoption, and expansion of our service revenue.' Street consensus sits at $739M, near the high end of this range, suggesting analysts are fading management's typical conservatism. Historically, management has demonstrated credible guidance with multiple raises throughout 2025 - they raised FY2025 revenue guidance twice (from $565-585M in Q2 to $585-605M in Q3 to final $595-605M), landing at $605.5M actual.</w:t>
      </w:r>
    </w:p>
    <w:p>
      <w:pPr>
        <w:pStyle w:val="ListBullet"/>
      </w:pPr>
      <w:r>
        <w:rPr>
          <w:i/>
        </w:rPr>
        <w:t>→ Research confirms: TransMedics management confirmed FY2026 revenue guidance of $727–$757M representing 20–25% growth in Q4 2025 earnings (Feb 24, 2026) and reiterated this guidance in Q1 2026 earnings (May 5, 2026). (prnewswire.com)</w:t>
      </w:r>
    </w:p>
    <w:p>
      <w:pPr>
        <w:pStyle w:val="ListBullet"/>
      </w:pPr>
      <w:r>
        <w:rPr>
          <w:i/>
        </w:rPr>
        <w:t>→ Research: Search confirms competitive landscape is substantive and documented. TMDX faces named competitors (XVIVO, OrganOx, Paragonix, Organ Recovery Systems) with active R&amp;D and funding. OrganOx raised $200M+ including $160M in Feb 2025; XVIVO offers kidney services TMDX lacks. Competitive intensity is rising as market expands, though TMDX maintains regulatory and logistics advantages. Missing angle is va (nanalyze.com)</w:t>
      </w:r>
    </w:p>
    <w:p>
      <w:r>
        <w:t>The margin story reveals more complexity. Management's guidance for 2026 operating margins to be 'up to approximately 250 basis points below 2025 full-year levels' represents a significant shift from their prior messaging. In Q2 2025, CFO Hernandez expressed 'high degree of confidence in our long-term ability to deliver substantial top and bottom line growth,' but by Q3 became more cautious, refusing to provide specific investment amounts for European expansion: 'I'm not going to provide a specific dollar amount on the investment in Europe.' This language progression suggests internal investment plans were still being finalized.</w:t>
      </w:r>
    </w:p>
    <w:p>
      <w:r>
        <w:t>The European expansion represents the primary margin headwind. Management announced in April 2026 their intent to create 'the First Dedicated European Transplant Logistics Network with Strategic Investment in PAD Avia,' indicating accelerated capital deployment. In the Q3 call, CEO Hassaneen explained their European approach: 'Our role is to facilitate the utilization of these organs to actual transplant successfully... they are having significant challenges of even securing logistics to move organs even within Italy. So for us, that's a huge opportunity.' However, the infrastructure investment required appears substantial - management's shift from withholding specific investment details in Q3 to providing explicit margin impact guidance in Q4 suggests costs are materializing ahead of initial timelines.</w:t>
      </w:r>
    </w:p>
    <w:p>
      <w:pPr>
        <w:pStyle w:val="ListBullet"/>
      </w:pPr>
      <w:r>
        <w:rPr>
          <w:i/>
        </w:rPr>
        <w:t>→ Research confirms: TransMedics announced on April 29, 2026 its intent to create the First Dedicated European Transplant Logistics Network with strategic investment in PAD Aviation, exactly matching the verbatim claim. (prnewswire.com)</w:t>
      </w:r>
    </w:p>
    <w:p>
      <w:r>
        <w:t>Clinical trial investments add another layer of margin pressure. Management is pursuing multiple programs simultaneously: OCS Enhanced Heart (Parts A and B), OCS Enhanced Lung, and OCS Kidney programs. In the Q4 call, CEO Hassaneen detailed the heart program structure: 'Part A of this program is designed to move cardiac transplantation beyond preservation to actually improving the quality of donor hearts through our OCS technology. Part B of this program is designed to expand the utilization of donor hearts that are currently not being utilized for transplantation.' The breadth of these concurrent programs suggests meaningful R&amp;D and operational costs in 2026.</w:t>
      </w:r>
    </w:p>
    <w:p>
      <w:r>
        <w:t>Management's credibility on guidance remains strong based on their 2025 track record, but the margin compression warning appears conservative given their historical pattern. The 250bps compression guidance assumes investments hit the high end of their range while revenue lands at the low end. If revenue performs toward the guide midpoint ($742M) while investment timing proves more gradual, actual margin compression could be closer to 150-200bps rather than the full 250bps guided.</w:t>
      </w:r>
    </w:p>
    <w:p>
      <w:pPr>
        <w:pStyle w:val="ListBullet"/>
      </w:pPr>
      <w:r>
        <w:rPr>
          <w:i/>
        </w:rPr>
        <w:t>→ Research: Recent insider activity shows mixed signals: CFO Hernandez sold ~$1.12M in shares (March 2026) via option exercises and tax-withholding sales; CEO Hassanein made modest purchases (~$1.5M, August 2025) but also reported a large unexplained disposition. Overall insider pattern is net selling over 18 months, suggesting limited confidence signals. (investing.com)</w:t>
      </w:r>
    </w:p>
    <w:p>
      <w:r>
        <w:t>The international revenue opportunity provides long-term upside but remains nascent. Q4 2025 international revenue was only $16.7M (9.3% growth) compared to U.S. revenue of $585M (38.6% growth). Management noted 'quarterly variability is expected due to reimbursement and market dynamics' for international operations, suggesting this revenue stream won't meaningfully offset near-term margin pressure from European infrastructure investments.</w:t>
      </w:r>
    </w:p>
    <w:p>
      <w:r>
        <w:t>A notable accounting item was the $103.3M valuation allowance release on deferred tax assets, which management explicitly framed as a business strength signal rather than mere accounting: 'The release of the valuation allowance on our deferred tax assets is not merely an accounting adjustment, but a strong indication of' future profitability expectations. This suggests internal confidence in the business trajectory despite near-term margin compression.</w:t>
      </w:r>
    </w:p>
    <w:p>
      <w:pPr>
        <w:pStyle w:val="ListBullet"/>
      </w:pPr>
      <w:r>
        <w:rPr>
          <w:i/>
        </w:rPr>
        <w:t>→ Research confirms: TransMedics released a $103.3M valuation allowance on deferred tax assets in Q4 2025, generating an $83.8M net income tax benefit. The company determined it became more likely than not that future taxable income would allow use of deferred tax assets. (prnewswire.com)</w:t>
      </w:r>
    </w:p>
    <w:p>
      <w:r>
        <w:t>The bear case centers on whether margin compression proves deeper or more persistent than guided. Recent short-seller reports from Scorpion Capital alleging 'extreme and grotesque healthcare fraud' have prompted legal investigations, though management has responded that claims are 'inaccurate and misleading.' While these allegations appear to lack substantive evidence based on continued strong operational metrics, they create an overhang that could amplify any operational disappointments.</w:t>
      </w:r>
    </w:p>
    <w:p>
      <w:pPr>
        <w:pStyle w:val="ListBullet"/>
      </w:pPr>
      <w:r>
        <w:rPr>
          <w:i/>
        </w:rPr>
        <w:t>→ Research confirms: Scorpion Capital issued a report on January 10, 2025 alleging TransMedics engaged in fraud, which triggered shareholder investigations by multiple law firms. The report described the company as "the most extreme and grotesque healthcare fraud" encountered. (massdevice.com)</w:t>
      </w:r>
    </w:p>
    <w:p>
      <w:r>
        <w:t>Overall, the setup suggests a company executing well operationally but facing genuine near-term margin pressure from strategic investments. Management's 2026 guidance appears achievable on revenue but potentially conservative on margins, creating a scenario where beats are more likely on the bottom line than top line - the inverse of typical growth company dynamics.</w:t>
      </w:r>
    </w:p>
    <w:p>
      <w:pPr>
        <w:pStyle w:val="ListBullet"/>
      </w:pPr>
      <w:r>
        <w:rPr>
          <w:i/>
        </w:rPr>
        <w:t>→ Research: TransMedics has 99.67% institutional ownership with 449 institutional 13F/13D filers holding 37.3M shares. Recent Q1 2026 results show margin compression (net income fell 71% YoY despite 21% revenue growth), creating potential selling pressure from concentrated institutional base. (fintel.io)</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$0.61</w:t>
            </w:r>
          </w:p>
        </w:tc>
        <w:tc>
          <w:tcPr>
            <w:tcW w:type="dxa" w:w="3264"/>
            <w:tcBorders>
              <w:top w:val="single" w:sz="4" w:color="BDC3C7"/>
              <w:bottom w:val="single" w:sz="4" w:color="BDC3C7"/>
              <w:left w:val="single" w:sz="4" w:color="BDC3C7"/>
              <w:right w:val="single" w:sz="4" w:color="BDC3C7"/>
            </w:tcBorders>
          </w:tcPr>
          <w:p>
            <w:r>
              <w:t>$174M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$0.75</w:t>
            </w:r>
          </w:p>
        </w:tc>
        <w:tc>
          <w:tcPr>
            <w:tcW w:type="dxa" w:w="3264"/>
            <w:tcBorders>
              <w:top w:val="single" w:sz="4" w:color="BDC3C7"/>
              <w:bottom w:val="single" w:sz="4" w:color="BDC3C7"/>
              <w:left w:val="single" w:sz="4" w:color="BDC3C7"/>
              <w:right w:val="single" w:sz="4" w:color="BDC3C7"/>
            </w:tcBorders>
          </w:tcPr>
          <w:p>
            <w:r>
              <w:t>$189M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$2.46</w:t>
            </w:r>
          </w:p>
        </w:tc>
        <w:tc>
          <w:tcPr>
            <w:tcW w:type="dxa" w:w="3264"/>
            <w:tcBorders>
              <w:top w:val="single" w:sz="4" w:color="BDC3C7"/>
              <w:bottom w:val="single" w:sz="4" w:color="BDC3C7"/>
              <w:left w:val="single" w:sz="4" w:color="BDC3C7"/>
              <w:right w:val="single" w:sz="4" w:color="BDC3C7"/>
            </w:tcBorders>
          </w:tcPr>
          <w:p>
            <w:r>
              <w:t>$739M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$3.68</w:t>
            </w:r>
          </w:p>
        </w:tc>
        <w:tc>
          <w:tcPr>
            <w:tcW w:type="dxa" w:w="3264"/>
            <w:tcBorders>
              <w:top w:val="single" w:sz="4" w:color="BDC3C7"/>
              <w:bottom w:val="single" w:sz="4" w:color="BDC3C7"/>
              <w:left w:val="single" w:sz="4" w:color="BDC3C7"/>
              <w:right w:val="single" w:sz="4" w:color="BDC3C7"/>
            </w:tcBorders>
          </w:tcPr>
          <w:p>
            <w:r>
              <w:t>$876M</w:t>
            </w:r>
          </w:p>
        </w:tc>
      </w:tr>
    </w:tbl>
    <w:p>
      <w:pPr>
        <w:pStyle w:val="SubHeading"/>
      </w:pPr>
      <w:r>
        <w:t>Management guidance:</w:t>
      </w:r>
    </w:p>
    <w:p>
      <w:pPr>
        <w:pStyle w:val="ListBullet"/>
      </w:pPr>
      <w:r>
        <w:t>Revenue (FY2026): $727 million to $757 million  — Q4 2025, call, CFO</w:t>
      </w:r>
    </w:p>
    <w:p>
      <w:pPr>
        <w:pStyle w:val="ListBullet"/>
      </w:pPr>
      <w:r>
        <w:t>Operating Margin (FY2026): up to approximately 250 basis points below 2025 full-year levels  — Q4 2025, call, CFO</w:t>
      </w:r>
    </w:p>
    <w:p>
      <w:pPr>
        <w:pStyle w:val="ListBullet"/>
      </w:pPr>
      <w:r>
        <w:t>Operating Margin (long-term): approach 30% by 2028  — Q4 2025, call, CFO</w:t>
      </w:r>
    </w:p>
    <w:p>
      <w:pPr>
        <w:pStyle w:val="PullQuote"/>
      </w:pPr>
      <w:r>
        <w:t>No structured edge claims survived validation (2 candidate(s) rejected — see Appendix).</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+18.50%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revenue_growth_rate</w:t>
            </w:r>
          </w:p>
        </w:tc>
        <w:tc>
          <w:tcPr>
            <w:tcW w:type="dxa" w:w="2448"/>
            <w:tcBorders>
              <w:top w:val="single" w:sz="4" w:color="BDC3C7"/>
              <w:bottom w:val="single" w:sz="4" w:color="BDC3C7"/>
              <w:left w:val="single" w:sz="4" w:color="BDC3C7"/>
              <w:right w:val="single" w:sz="4" w:color="BDC3C7"/>
            </w:tcBorders>
          </w:tcPr>
          <w:p>
            <w:r>
              <w:t>+18.50%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Management guides FY2026 revenue of $727-757M representing 20-25% growth over 2025's $605.5M actual. In the Q4 2025 call, CFO Hernandez stated 'Growth is expected to be driven primarily by increased oil utilization, cont</w:t>
            </w:r>
          </w:p>
        </w:tc>
      </w:tr>
    </w:tbl>
    <w:p>
      <w:pPr>
        <w:pStyle w:val="SubHeading"/>
      </w:pPr>
      <w:r>
        <w:t>Bear revisions:</w:t>
      </w:r>
    </w:p>
    <w:p>
      <w:pPr>
        <w:pStyle w:val="ListBullet"/>
      </w:pPr>
      <w:r>
        <w:t>revenue_growth.revenue_growth_rate: 20.38 → 18.5 — If European expansion faces regulatory delays and clinical trial enrollment is slower than expected, organic U.S. growth may decelerate from current 38% pace</w:t>
      </w:r>
    </w:p>
    <w:p>
      <w:pPr>
        <w:pStyle w:val="SubHeading"/>
      </w:pPr>
      <w:r>
        <w:t>Comp decomposition check:</w:t>
      </w:r>
    </w:p>
    <w:p>
      <w:pPr>
        <w:pStyle w:val="ListBullet"/>
      </w:pPr>
      <w:r>
        <w:t>Schema mismatch: peer comps fit 'med_devices' but the brief picked 'general'. The mechanical model will use generic defaults; final EPS may be unreliable.</w:t>
      </w:r>
    </w:p>
    <w:p>
      <w:pPr>
        <w:pStyle w:val="ListBullet"/>
      </w:pPr>
      <w:r>
        <w:t>Thin brief drivers (1 drivers / 1 components) on schema 'general'. The mechanical model and edge variant back-solve may be unreliable.</w:t>
      </w:r>
    </w:p>
    <w:p>
      <w:pPr>
        <w:pStyle w:val="SectionHeading"/>
      </w:pPr>
      <w:r>
        <w:t>3. Consensus Gap &amp; Valuation</w:t>
      </w:r>
    </w:p>
    <w:p>
      <w:r>
        <w:t>Our EPS: $2.46  =  baseline $2.46  +  Σ claim impacts $+0.00 (0.0% below consensus $2.46)</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$2.46</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$2.46</w:t>
            </w:r>
          </w:p>
        </w:tc>
      </w:tr>
    </w:tbl>
    <w:p>
      <w:pPr>
        <w:pStyle w:val="PullQuote"/>
      </w:pPr>
      <w:r>
        <w:t xml:space="preserve">  ⚠ No edge claims; our EPS matches baseline (consensus).</w:t>
      </w:r>
    </w:p>
    <w:p>
      <w:r>
        <w:t>Our estimate is $0.00 (0.0%) below consensus $2.46. No single driver within plausible bounds can close the gap to consensus when other drivers are held at our values; the EPS variant is diffuse (top magnitude: revenue_growth.revenue_growth_rate). Variant appears within market noise -- may already be priced in. Next catalyst: Next quarterly earnings report (2026-05-05 (1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revenue_growth.revenue_growth_rate</w:t>
            </w:r>
          </w:p>
        </w:tc>
        <w:tc>
          <w:tcPr>
            <w:tcW w:type="dxa" w:w="1958"/>
            <w:tcBorders>
              <w:top w:val="single" w:sz="4" w:color="BDC3C7"/>
              <w:bottom w:val="single" w:sz="4" w:color="BDC3C7"/>
              <w:left w:val="single" w:sz="4" w:color="BDC3C7"/>
              <w:right w:val="single" w:sz="4" w:color="BDC3C7"/>
            </w:tcBorders>
          </w:tcPr>
          <w:p>
            <w:r>
              <w:t>+18.50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0.60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(+0.0%) within implied move noise (7.5%). Short interest 34.4% neutral</w:t>
      </w:r>
    </w:p>
    <w:p>
      <w:r>
        <w:t>Edge verdict: NO_CLEAR_EDGE (score 0.000).</w:t>
      </w:r>
    </w:p>
    <w:p>
      <w:pPr>
        <w:pStyle w:val="SectionHeading"/>
      </w:pPr>
      <w:r>
        <w:t>4. Catalysts</w:t>
      </w:r>
    </w:p>
    <w:p>
      <w:pPr>
        <w:pStyle w:val="ListBullet"/>
      </w:pPr>
      <w:r>
        <w:t>Next quarterly earnings report (2026-05-05 (1 days)) — resolves revenue + margins + guidance; confirms or challenges</w:t>
      </w:r>
    </w:p>
    <w:p>
      <w:pPr>
        <w:pStyle w:val="ListBullet"/>
      </w:pPr>
      <w:r>
        <w:t>Resolution: European expansion will drive meaningful revenue growth in 2026 (Resolves at earnings (2026-05-05)) — resolves revenue_growth; confirms or challenges</w:t>
      </w:r>
    </w:p>
    <w:p>
      <w:pPr>
        <w:pStyle w:val="ListBullet"/>
      </w:pPr>
      <w:r>
        <w:t>Specific dollar amounts for European logistics infrastructure investment (Unknown timing) — resolves multiple; resolves uncertainty</w:t>
      </w:r>
    </w:p>
    <w:p>
      <w:pPr>
        <w:pStyle w:val="ListBullet"/>
      </w:pPr>
      <w:r>
        <w:t>Clinical trial enrollment timelines and associated costs (Unknown timing) — resolves multiple; resolves uncertainty</w:t>
      </w:r>
    </w:p>
    <w:p>
      <w:pPr>
        <w:pStyle w:val="SectionHeading"/>
      </w:pPr>
      <w:r>
        <w:t>5. Risks, Blind Spots &amp; Kill Criteria</w:t>
      </w:r>
    </w:p>
    <w:p>
      <w:pPr>
        <w:pStyle w:val="SubHeading"/>
      </w:pPr>
      <w:r>
        <w:t>Top risks:</w:t>
      </w:r>
    </w:p>
    <w:p>
      <w:pPr>
        <w:pStyle w:val="ListBullet"/>
      </w:pPr>
      <w:r>
        <w:t>European expansion will drive meaningful revenue growth in 2026 — counter: Q4 2025 international revenue was only $16.7M with 9.3% growth versus U.S. revenue of $585M with 38.6% growth. Management noted 'quarterly variability is expected due to reimbursement and market dynamics' for international operations [moderate]</w:t>
      </w:r>
    </w:p>
    <w:p>
      <w:pPr>
        <w:pStyle w:val="ListBullet2"/>
      </w:pPr>
      <w:r>
        <w:rPr>
          <w:i/>
        </w:rPr>
        <w:t>→ Research confirms: Full-year 2025 international transplant revenue was $16.7M with 9.3% YoY growth; U.S. transplant revenue reached $585M with 38.6% growth. Claim verified across multiple official sources. (yahoo.com)</w:t>
      </w:r>
    </w:p>
    <w:p>
      <w:pPr>
        <w:pStyle w:val="KillCriteria"/>
      </w:pPr>
      <w:r>
        <w:t>What would change our mind: Unable to close gap: Specific dollar amounts for European logistics infrastructure investment</w:t>
      </w:r>
    </w:p>
    <w:p>
      <w:pPr>
        <w:pStyle w:val="SectionHeading"/>
      </w:pPr>
      <w:r>
        <w:t>Appendix</w:t>
      </w:r>
    </w:p>
    <w:p>
      <w:pPr>
        <w:pStyle w:val="SubHeading"/>
      </w:pPr>
      <w:r>
        <w:t>Business context:</w:t>
      </w:r>
    </w:p>
    <w:p>
      <w:r>
        <w:t>TransMedics provides organ preservation technology and logistics services to expand the utilization of donor organs for transplantation. The company operates through its OCS (Organ Care System) technology and NOP (National OCS Program) platform, serving as a logistics coordinator for organ transport across liver, heart, and lung transplants.</w:t>
      </w:r>
    </w:p>
    <w:p>
      <w:pPr>
        <w:pStyle w:val="SubHeading"/>
      </w:pPr>
      <w:r>
        <w:t>Evidence gaps (research TODO):</w:t>
      </w:r>
    </w:p>
    <w:p>
      <w:pPr>
        <w:pStyle w:val="ListBullet"/>
      </w:pPr>
      <w:r>
        <w:t>Specific dollar amounts for European logistics infrastructure investment</w:t>
      </w:r>
    </w:p>
    <w:p>
      <w:pPr>
        <w:pStyle w:val="ListBullet"/>
      </w:pPr>
      <w:r>
        <w:t>Clinical trial enrollment timelines and associated costs</w:t>
      </w:r>
    </w:p>
    <w:p>
      <w:pPr>
        <w:pStyle w:val="ListBullet"/>
      </w:pPr>
      <w:r>
        <w:t>Quarterly seasonality patterns for international revenue</w:t>
      </w:r>
    </w:p>
    <w:p>
      <w:pPr>
        <w:pStyle w:val="ListBullet"/>
      </w:pPr>
      <w:r>
        <w:t>Competitive response to OCS technology adoption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