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TMDX — TMDX</w:t>
      </w:r>
    </w:p>
    <w:p>
      <w:pPr>
        <w:pStyle w:val="SmallMeta"/>
      </w:pPr>
      <w:r>
        <w:t>As of 2026-05-05  |  Schema: general  |  Data: polygon+alpha_vantage (FY2025)</w:t>
      </w:r>
    </w:p>
    <w:p>
      <w:pPr>
        <w:pStyle w:val="SubHeading"/>
      </w:pPr>
      <w:r>
        <w:rPr>
          <w:color w:val="8C1D40"/>
        </w:rPr>
        <w:t>Direction: SHORT | Current: $94.93</w:t>
      </w:r>
    </w:p>
    <w:p>
      <w:pPr>
        <w:pStyle w:val="SubHeading"/>
      </w:pPr>
      <w:r>
        <w:t>Summary</w:t>
      </w:r>
    </w:p>
    <w:p>
      <w:pPr>
        <w:pStyle w:val="ListBullet"/>
      </w:pPr>
      <w:r>
        <w:t>Thesis: Consensus FY2026 EPS of $2.46 appears 15-20% too high, failing to fully capture the magnitude of margin compression from European expansion investments and clinical trial spending that management explicitly warned about.</w:t>
      </w:r>
    </w:p>
    <w:p>
      <w:pPr>
        <w:pStyle w:val="ListBullet"/>
      </w:pPr>
      <w:r>
        <w:t>Next catalyst: Next quarterly earnings report (2026-05-05 (1 days))</w:t>
      </w:r>
    </w:p>
    <w:p>
      <w:pPr>
        <w:pStyle w:val="ListBullet"/>
      </w:pPr>
      <w:r>
        <w:t>Top risk: Investment spending is temporary and margins will quickly recover</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'med_devices'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$0.45 – $0.82</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-12.7%</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↑2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$0.56 – $0.93</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-18.9%</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$2.46</w:t>
            </w:r>
          </w:p>
        </w:tc>
        <w:tc>
          <w:tcPr>
            <w:tcW w:type="dxa" w:w="1399"/>
            <w:tcBorders>
              <w:top w:val="single" w:sz="4" w:color="BDC3C7"/>
              <w:bottom w:val="single" w:sz="4" w:color="BDC3C7"/>
              <w:left w:val="single" w:sz="4" w:color="BDC3C7"/>
              <w:right w:val="single" w:sz="4" w:color="BDC3C7"/>
            </w:tcBorders>
          </w:tcPr>
          <w:p>
            <w:r>
              <w:t>$2.08 – $2.87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-6.4%</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$3.68</w:t>
            </w:r>
          </w:p>
        </w:tc>
        <w:tc>
          <w:tcPr>
            <w:tcW w:type="dxa" w:w="1399"/>
            <w:tcBorders>
              <w:top w:val="single" w:sz="4" w:color="BDC3C7"/>
              <w:bottom w:val="single" w:sz="4" w:color="BDC3C7"/>
              <w:left w:val="single" w:sz="4" w:color="BDC3C7"/>
              <w:right w:val="single" w:sz="4" w:color="BDC3C7"/>
            </w:tcBorders>
          </w:tcPr>
          <w:p>
            <w:r>
              <w:t>$3.01 – $4.19</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+49.9%</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bl>
    <w:p>
      <w:r>
        <w:t>Revenue consensus: Q $0.17B (+21.3%)  |  Q+1 $0.19B (+20.2%)  |  FY $0.74B (+22.1%)  |  FY+1 $0.88B (+18.6%)</w:t>
      </w:r>
    </w:p>
    <w:p>
      <w:r>
        <w:t>Price targets: Mean $156.00  |  Median $156.00  |  Range $118.00–$190.00  |  Current $95.28 (+63.7% to mean)</w:t>
      </w:r>
    </w:p>
    <w:p>
      <w:r>
        <w:t>Analyst ratings (n=11): Strong Buy 2 · Buy 7 · Hold 2 · Sell 0 · Strong Sell 0  ·  82% bullish</w:t>
      </w:r>
    </w:p>
    <w:p>
      <w:r>
        <w:t>Next earnings: 2026-05-05 (0d out)  ·  EPS $0.61 ($0.45–$0.82)  ·  Rev $0.17B</w:t>
      </w:r>
    </w:p>
    <w:p>
      <w:pPr>
        <w:pStyle w:val="SectionHeading"/>
      </w:pPr>
      <w:r>
        <w:t>1. Research Synthesis</w:t>
      </w:r>
    </w:p>
    <w:p>
      <w:r>
        <w:t>TransMedics delivered exceptional FY2025 results with $605.5M revenue (+37% YoY) and 18% operating margins, but management's FY2026 guidance reveals a significant investment cycle that consensus appears to underestimate. In the Q4 2025 call, CFO Gerardo Hernandez explicitly stated 'We expect operating margins to be up to approximately 250 basis points below 2025 full-year levels, primarily reflecting the timing and scale of these investments.' This represents a potential decline from 18% to as low as 15.5% operating margins, yet consensus FY2026 EPS of $2.46 implies only modest margin compression.</w:t>
      </w:r>
    </w:p>
    <w:p>
      <w:pPr>
        <w:pStyle w:val="ListBullet"/>
      </w:pPr>
      <w:r>
        <w:rPr>
          <w:i/>
        </w:rPr>
        <w:t>→ Research confirms: TransMedics FY2025 revenue of $605.5M (+37% YoY) confirmed by official earnings release. Operating profit of $108.6M represents 18% operating margin, directly matching the claim. (transmedics.com)</w:t>
      </w:r>
    </w:p>
    <w:p>
      <w:pPr>
        <w:pStyle w:val="ListBullet"/>
      </w:pPr>
      <w:r>
        <w:rPr>
          <w:i/>
        </w:rPr>
        <w:t>→ Research confirms: CFO Hernandez stated on Feb 27, 2026 earnings call that 2026 operating margins are expected to be up to approximately 250 basis points below 2025 full-year levels due to investment timing and scale. (themarketsdaily.com)</w:t>
      </w:r>
    </w:p>
    <w:p>
      <w:r>
        <w:t>The sequential trajectory analysis reveals concerning patterns masked by strong headline growth. Q4 2025 operating margin of 13.2% already showed 290bps sequential decline from Q3's 16.2%, with management attributing this to 'higher operating expenses associated with increased investments in the quarter.' More telling, when pressed by analysts in Q3 about specific investment amounts for European expansion, CFO Hernandez explicitly refused: 'I'm not going to provide a specific dollar amount on the investment in Europe. We will provide a little bit more color next year in our next call.' This evasiveness, combined with the broad 'up to 250bps' guidance range, suggests management expects investments toward the higher end.</w:t>
      </w:r>
    </w:p>
    <w:p>
      <w:pPr>
        <w:pStyle w:val="ListBullet"/>
      </w:pPr>
      <w:r>
        <w:rPr>
          <w:i/>
        </w:rPr>
        <w:t>→ Research confirms: Q4 2025 operating margin was 13.2% with a 3.0 percentage point sequential decline from Q3's 16.2%, confirming the 290 basis point margin compression cited in the brief. (transmedics.com)</w:t>
      </w:r>
    </w:p>
    <w:p>
      <w:r>
        <w:t>The European expansion represents a fundamental shift in capital allocation intensity. Management announced intent to create 'the First Dedicated European Transplant Logistics Network with Strategic Investment in PAD Avia' in April 2026, requiring significant upfront logistics infrastructure before revenue materialization. In the Q3 call, CEO Waleed Hassaneen noted they're solving logistics problems 'they are having significant challenges of even securing logistics to move organs even within Italy,' indicating substantial operational complexity requiring heavy investment. The Q4 guidance of $727-757M revenue (22% growth midpoint) suggests this European revenue contribution remains minimal in 2026, making the investment purely margin-dilutive.</w:t>
      </w:r>
    </w:p>
    <w:p>
      <w:pPr>
        <w:pStyle w:val="ListBullet"/>
      </w:pPr>
      <w:r>
        <w:rPr>
          <w:i/>
        </w:rPr>
        <w:t>→ Research confirms: Management announced on April 29, 2026 intent to create 'the First Dedicated European Transplant Logistics Network with Strategic Investment in PAD Aviation service GmbH' via definitive agreement with Germany-based PAD Aviation. (prnewswire.com)</w:t>
      </w:r>
    </w:p>
    <w:p>
      <w:pPr>
        <w:pStyle w:val="ListBullet"/>
      </w:pPr>
      <w:r>
        <w:rPr>
          <w:i/>
        </w:rPr>
        <w:t>→ Research confirms: CEO Waleed Hassanein stated in Q3 2025 earnings call that Italy faces significant logistics challenges in securing organ transport even within the country, directly supporting the claim about expansion complexity. (fool.com)</w:t>
      </w:r>
    </w:p>
    <w:p>
      <w:pPr>
        <w:pStyle w:val="ListBullet"/>
      </w:pPr>
      <w:r>
        <w:rPr>
          <w:i/>
        </w:rPr>
        <w:t>→ Research: European organ transplant logistics market is competitive with multiple players (XVIVO, OrganOx, Paragonix/Getinge) offering alternative preservation and logistics solutions. TransMedics' April 2026 PAD Aviation investment directly addresses competitive positioning by building dedicated European logistics infrastructure, but market consolidation and rival funding rounds (OrganOx $142M, Getinge's $ (nanalyze.com)</w:t>
      </w:r>
    </w:p>
    <w:p>
      <w:r>
        <w:t>Clinical trial spending adds another layer of margin pressure inadequately captured by consensus. Management launched the OCS Enhanced Heart Program with Part A and Part B components, plus expanded lung and kidney programs. In the Q2 call, when asked about clinical trial contribution, management said 'we have enough organic growth that we're not even counting on any growth from the clinical trial in 25,' implying these programs are pure cost centers in the near term. The formalization of a 'five-pillar strategic framework' in Q4 suggests more disciplined but also more expensive approach to multiple growth initiatives simultaneously.</w:t>
      </w:r>
    </w:p>
    <w:p>
      <w:pPr>
        <w:pStyle w:val="ListBullet"/>
      </w:pPr>
      <w:r>
        <w:rPr>
          <w:i/>
        </w:rPr>
        <w:t>→ Research confirms: TransMedics launched OCS ENHANCE Heart trial with Part A (prolonged heart perfusion) and Part B (DBD superiority demonstration) components. Company also advanced lung (DENOVO) and kidney programs, with kidney trials planned for simultaneous U.S./Europe launch. (transmedics.com)</w:t>
      </w:r>
    </w:p>
    <w:p>
      <w:r>
        <w:t>The margin bridge math reveals the earnings impact magnitude. FY2025 operating income of $108.6M on $605.5M revenue = 18% margins. Applying management's 250bps compression guidance to the FY2026 revenue midpoint of $742M yields operating income of ~$115M (15.5% margins) versus the $134M implied by consensus EPS expectations. This $19M operating income gap flows through to approximately $0.35-0.40 of EPS impact after taxes, suggesting consensus EPS should be closer to $2.05-2.10 rather than $2.46.</w:t>
      </w:r>
    </w:p>
    <w:p>
      <w:r>
        <w:t>Management credibility patterns support taking the margin guidance seriously rather than fading it. Throughout 2025, the company consistently raised both revenue and operating margin guidance, with CFO language progressing from 'at least 650 basis points of operating margin expansion' in Q2 to 'at least 750 basis points' in Q3. This beat-and-raise pattern establishes management as conservative guiders, making their explicit warning about 2026 margin compression more credible than typical sandbagging.</w:t>
      </w:r>
    </w:p>
    <w:p>
      <w:pPr>
        <w:pStyle w:val="ListBullet"/>
      </w:pPr>
      <w:r>
        <w:rPr>
          <w:i/>
        </w:rPr>
        <w:t>→ Research: Recent Form 4 filings confirm material insider selling activity in March 2026 during a period of strong analyst upgrades and institutional buying. CEO Hassanein reported net negative insider activity (121,424 share disposition vs. 16,875 purchases in Aug 2025); director Weill sold 3,571 shares at $146.82 on March 4, 2026; director Lovell sold 1,193 shares at $149.62 on March 4, 2026. Aggregate ins (insiderscreener.com)</w:t>
      </w:r>
    </w:p>
    <w:p>
      <w:r>
        <w:t>The international revenue trajectory provides additional evidence of investment-heavy, revenue-light dynamics. Despite management's European expansion emphasis, international revenue declined from $4.0M in Q2 to $3.6M in Q3 before recovering to $4.8M in Q4 - ending 2025 at just $16.7M (+9.3% YoY) or 3% of total revenue. This anemic international contribution against heavy investment rhetoric suggests the European logistics buildout is front-loaded cost with back-loaded revenue, consistent with management's margin compression guidance.</w:t>
      </w:r>
    </w:p>
    <w:p>
      <w:pPr>
        <w:pStyle w:val="ListBullet"/>
      </w:pPr>
      <w:r>
        <w:rPr>
          <w:i/>
        </w:rPr>
        <w:t>→ Research [CONTRADICTS]: Search results confirm Q4 2025 international revenue at $4.8M and full-year 2025 at $16.7M (+9.3% YoY), but do not provide Q2 or Q3 2025 international revenue figures. The claim's quarterly trajectory ($4.0M Q2 → $3.6M Q3 → $4.8M Q4) cannot be verified from available sources. (themarketsdaily.com)</w:t>
      </w:r>
    </w:p>
    <w:p>
      <w:r>
        <w:t>Bear case risks center on the 2028 margin target credibility. Management consistently reaffirmed 'We continue to expect operating margins to approach 30% by 2028' across multiple quarters, but the path requires significant operating leverage from current 15.5% trough levels. If European expansion proves more capital-intensive or slower-ramping than expected, the 2028 target becomes questionable, potentially triggering multiple compression beyond the current earnings miss. However, the core U.S. business fundamentals remain strong with 38.6% growth in domestic transplant revenue, suggesting the margin pressure is investment-driven rather than structural deterioration.</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$174M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$189M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$2.46</w:t>
            </w:r>
          </w:p>
        </w:tc>
        <w:tc>
          <w:tcPr>
            <w:tcW w:type="dxa" w:w="3264"/>
            <w:tcBorders>
              <w:top w:val="single" w:sz="4" w:color="BDC3C7"/>
              <w:bottom w:val="single" w:sz="4" w:color="BDC3C7"/>
              <w:left w:val="single" w:sz="4" w:color="BDC3C7"/>
              <w:right w:val="single" w:sz="4" w:color="BDC3C7"/>
            </w:tcBorders>
          </w:tcPr>
          <w:p>
            <w:r>
              <w:t>$739M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$3.68</w:t>
            </w:r>
          </w:p>
        </w:tc>
        <w:tc>
          <w:tcPr>
            <w:tcW w:type="dxa" w:w="3264"/>
            <w:tcBorders>
              <w:top w:val="single" w:sz="4" w:color="BDC3C7"/>
              <w:bottom w:val="single" w:sz="4" w:color="BDC3C7"/>
              <w:left w:val="single" w:sz="4" w:color="BDC3C7"/>
              <w:right w:val="single" w:sz="4" w:color="BDC3C7"/>
            </w:tcBorders>
          </w:tcPr>
          <w:p>
            <w:r>
              <w:t>$876M</w:t>
            </w:r>
          </w:p>
        </w:tc>
      </w:tr>
    </w:tbl>
    <w:p>
      <w:pPr>
        <w:pStyle w:val="SubHeading"/>
      </w:pPr>
      <w:r>
        <w:t>Management guidance:</w:t>
      </w:r>
    </w:p>
    <w:p>
      <w:pPr>
        <w:pStyle w:val="ListBullet"/>
      </w:pPr>
      <w:r>
        <w:t>Revenue (FY2026): $727 million to $757 million  — Q4 2025, call, CFO</w:t>
      </w:r>
    </w:p>
    <w:p>
      <w:pPr>
        <w:pStyle w:val="ListBullet"/>
      </w:pPr>
      <w:r>
        <w:t>Operating Margin (FY2026): up to approximately 250 basis points below 2025 full-year levels  — Q4 2025, call, CFO</w:t>
      </w:r>
    </w:p>
    <w:p>
      <w:pPr>
        <w:pStyle w:val="ListBullet"/>
      </w:pPr>
      <w:r>
        <w:t>Operating Margin (long-term): approach 30% by 2028  — Q4 2025,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$2.46</w:t>
            </w:r>
          </w:p>
        </w:tc>
        <w:tc>
          <w:tcPr>
            <w:tcW w:type="dxa" w:w="1632"/>
            <w:tcBorders>
              <w:top w:val="single" w:sz="4" w:color="BDC3C7"/>
              <w:bottom w:val="single" w:sz="4" w:color="BDC3C7"/>
              <w:left w:val="single" w:sz="4" w:color="BDC3C7"/>
              <w:right w:val="single" w:sz="4" w:color="BDC3C7"/>
            </w:tcBorders>
          </w:tcPr>
          <w:p>
            <w:r>
              <w:t>$2.10</w:t>
            </w:r>
          </w:p>
        </w:tc>
        <w:tc>
          <w:tcPr>
            <w:tcW w:type="dxa" w:w="1632"/>
            <w:tcBorders>
              <w:top w:val="single" w:sz="4" w:color="BDC3C7"/>
              <w:bottom w:val="single" w:sz="4" w:color="BDC3C7"/>
              <w:left w:val="single" w:sz="4" w:color="BDC3C7"/>
              <w:right w:val="single" w:sz="4" w:color="BDC3C7"/>
            </w:tcBorders>
          </w:tcPr>
          <w:p>
            <w:r>
              <w:t>-0.36</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consensus_fy_eps</w:t>
      </w:r>
    </w:p>
    <w:p>
      <w:r>
        <w:t>Consensus appears to underestimate the magnitude of operating margin compression from European expansion investments that management explicitly guided to 'up to approximately 250 basis points below 2025 full-year levels'</w:t>
      </w:r>
    </w:p>
    <w:p>
      <w:r>
        <w:t>Street anchor: $2.46 (yfinance consensus) → Our view: $2.10</w:t>
      </w:r>
    </w:p>
    <w:p>
      <w:pPr>
        <w:pStyle w:val="PullQuote"/>
      </w:pPr>
      <w:r>
        <w:t>“We expect operating margins to be up to approximately 250 basis points below 2025 full-year levels, primarily reflecting the timing and scale of these investments”  (transcript)</w:t>
      </w:r>
    </w:p>
    <w:p>
      <w:pPr>
        <w:pStyle w:val="PullQuote"/>
      </w:pPr>
      <w:r>
        <w:t>“I'm not going to provide a specific dollar amount on the investment in Europe. We will provide a little bit more color next year in our next call”  (transcript)</w:t>
      </w:r>
    </w:p>
    <w:p>
      <w:r>
        <w:t>Why not consensus: Single-quarter analysts likely model margin compression at the low end of management's 'up to 250bps' range, while CFO's refusal to quantify investment amounts suggests impact toward high end</w:t>
      </w:r>
    </w:p>
    <w:p>
      <w:pPr>
        <w:pStyle w:val="KillCriteria"/>
      </w:pPr>
      <w:r>
        <w:t>Falsifier: If Q1 2026 operating margins come in above 16% or management provides specific European investment dollar amounts showing smaller impact</w:t>
      </w:r>
    </w:p>
    <w:p>
      <w:pPr>
        <w:pStyle w:val="ListBullet2"/>
      </w:pPr>
      <w:r>
        <w:rPr>
          <w:i/>
        </w:rPr>
        <w:t>→ Research [UPDATES]: Current consensus FY2026 EPS is $2.71, not $2.46 as stated in the brief. This represents a material upward revision following Q4 2025 earnings beat and Q1 2026 results. (yahoo.com)</w:t>
      </w:r>
    </w:p>
    <w:p>
      <w:r>
        <w:t>Management tone shift in Q2 2025→Q3 2025: 2026 guidance timing: new_caveat — Management became more cautious about providing forward guidance, wanting more time to evaluate init</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+19.72%</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us_transplant_growth</w:t>
            </w:r>
          </w:p>
        </w:tc>
        <w:tc>
          <w:tcPr>
            <w:tcW w:type="dxa" w:w="2448"/>
            <w:tcBorders>
              <w:top w:val="single" w:sz="4" w:color="BDC3C7"/>
              <w:bottom w:val="single" w:sz="4" w:color="BDC3C7"/>
              <w:left w:val="single" w:sz="4" w:color="BDC3C7"/>
              <w:right w:val="single" w:sz="4" w:color="BDC3C7"/>
            </w:tcBorders>
          </w:tcPr>
          <w:p>
            <w:r>
              <w:t>+19.14%</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the Q4 2025 call, CFO stated 'Growth is expected to be driven primarily by increased oil utilization, continued OCS adoption' with U.S. transplant revenue reaching $585M in 2025 (+38.6% YoY). Management's $727-757M to</w:t>
            </w:r>
          </w:p>
        </w:tc>
      </w:tr>
      <w:tr>
        <w:tc>
          <w:tcPr>
            <w:tcW w:type="dxa" w:w="2448"/>
            <w:tcBorders>
              <w:top w:val="single" w:sz="4" w:color="BDC3C7"/>
              <w:bottom w:val="single" w:sz="4" w:color="BDC3C7"/>
              <w:left w:val="single" w:sz="4" w:color="BDC3C7"/>
              <w:right w:val="single" w:sz="4" w:color="BDC3C7"/>
            </w:tcBorders>
          </w:tcPr>
          <w:p>
            <w:r>
              <w:t xml:space="preserve">    international_contribution</w:t>
            </w:r>
          </w:p>
        </w:tc>
        <w:tc>
          <w:tcPr>
            <w:tcW w:type="dxa" w:w="2448"/>
            <w:tcBorders>
              <w:top w:val="single" w:sz="4" w:color="BDC3C7"/>
              <w:bottom w:val="single" w:sz="4" w:color="BDC3C7"/>
              <w:left w:val="single" w:sz="4" w:color="BDC3C7"/>
              <w:right w:val="single" w:sz="4" w:color="BDC3C7"/>
            </w:tcBorders>
          </w:tcPr>
          <w:p>
            <w:r>
              <w:t>+0.58%</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International revenue was only $16.7M in 2025 (3% of total) with 9.3% growth. Despite European expansion investments, CEO noted operational challenges: 'they are having significant challenges of even securing logistics t</w:t>
            </w:r>
          </w:p>
        </w:tc>
      </w:tr>
    </w:tbl>
    <w:p>
      <w:pPr>
        <w:pStyle w:val="SubHeading"/>
      </w:pPr>
      <w:r>
        <w:t>Bear revisions:</w:t>
      </w:r>
    </w:p>
    <w:p>
      <w:pPr>
        <w:pStyle w:val="ListBullet"/>
      </w:pPr>
      <w:r>
        <w:t>revenue_growth.international_contribution: 0.96 → -0.5 — If European expansion faces greater operational challenges than expected, international could become a revenue drag rather than contributor</w:t>
      </w:r>
    </w:p>
    <w:p>
      <w:pPr>
        <w:pStyle w:val="SubHeading"/>
      </w:pPr>
      <w:r>
        <w:t>Comp decomposition check:</w:t>
      </w:r>
    </w:p>
    <w:p>
      <w:pPr>
        <w:pStyle w:val="ListBullet"/>
      </w:pPr>
      <w:r>
        <w:t>Schema mismatch: peer comps fit 'med_devices'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SectionHeading"/>
      </w:pPr>
      <w:r>
        <w:t>3. Consensus Gap &amp; Valuation</w:t>
      </w:r>
    </w:p>
    <w:p>
      <w:r>
        <w:t>Our EPS: $2.10  =  baseline $2.46  +  Σ claim impacts $-0.36 (14.6% below consensus $2.46)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$2.46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$2.46 → $2.10 (Δ -36.0%)</w:t>
            </w:r>
          </w:p>
        </w:tc>
        <w:tc>
          <w:tcPr>
            <w:tcW w:type="dxa" w:w="2448"/>
            <w:tcBorders>
              <w:top w:val="single" w:sz="4" w:color="BDC3C7"/>
              <w:bottom w:val="single" w:sz="4" w:color="BDC3C7"/>
              <w:left w:val="single" w:sz="4" w:color="BDC3C7"/>
              <w:right w:val="single" w:sz="4" w:color="BDC3C7"/>
            </w:tcBorders>
          </w:tcPr>
          <w:p>
            <w:r>
              <w:t>Direct EPS delta: $-0.36/share</w:t>
            </w:r>
          </w:p>
        </w:tc>
        <w:tc>
          <w:tcPr>
            <w:tcW w:type="dxa" w:w="2448"/>
            <w:tcBorders>
              <w:top w:val="single" w:sz="4" w:color="BDC3C7"/>
              <w:bottom w:val="single" w:sz="4" w:color="BDC3C7"/>
              <w:left w:val="single" w:sz="4" w:color="BDC3C7"/>
              <w:right w:val="single" w:sz="4" w:color="BDC3C7"/>
            </w:tcBorders>
          </w:tcPr>
          <w:p>
            <w:r>
              <w:t>-0.36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-0.36</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$2.10</w:t>
            </w:r>
          </w:p>
        </w:tc>
      </w:tr>
    </w:tbl>
    <w:p>
      <w:r>
        <w:t>Our estimate is $0.36 (14.6%) below consensus $2.46. No single driver within plausible bounds can close the gap to consensus when other drivers are held at our values; the EPS variant is diffuse (top magnitude: revenue_growth.us_transplant_growth). Variant appears NOT fully priced in based on available market data. Next catalyst: Next quarterly earnings report (2026-05-05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revenue_growth.us_transplant_growth</w:t>
            </w:r>
          </w:p>
        </w:tc>
        <w:tc>
          <w:tcPr>
            <w:tcW w:type="dxa" w:w="1958"/>
            <w:tcBorders>
              <w:top w:val="single" w:sz="4" w:color="BDC3C7"/>
              <w:bottom w:val="single" w:sz="4" w:color="BDC3C7"/>
              <w:left w:val="single" w:sz="4" w:color="BDC3C7"/>
              <w:right w:val="single" w:sz="4" w:color="BDC3C7"/>
            </w:tcBorders>
          </w:tcPr>
          <w:p>
            <w:r>
              <w:t>+19.14</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revenue_growth.international_contribution</w:t>
            </w:r>
          </w:p>
        </w:tc>
        <w:tc>
          <w:tcPr>
            <w:tcW w:type="dxa" w:w="1958"/>
            <w:tcBorders>
              <w:top w:val="single" w:sz="4" w:color="BDC3C7"/>
              <w:bottom w:val="single" w:sz="4" w:color="BDC3C7"/>
              <w:left w:val="single" w:sz="4" w:color="BDC3C7"/>
              <w:right w:val="single" w:sz="4" w:color="BDC3C7"/>
            </w:tcBorders>
          </w:tcPr>
          <w:p>
            <w:r>
              <w:t>+0.58</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(-14.6%) exceeds implied move (7.5%). Short interest 34.4% neutral</w:t>
      </w:r>
    </w:p>
    <w:p>
      <w:r>
        <w:t>Edge verdict: ACTIONABLE_EDGE (score 0.400).</w:t>
      </w:r>
    </w:p>
    <w:p>
      <w:pPr>
        <w:pStyle w:val="SectionHeading"/>
      </w:pPr>
      <w:r>
        <w:t>4. Catalysts</w:t>
      </w:r>
    </w:p>
    <w:p>
      <w:pPr>
        <w:pStyle w:val="ListBullet"/>
      </w:pPr>
      <w:r>
        <w:t>Next quarterly earnings report (2026-05-05 (1 days)) — resolves revenue + margins + guidance; confirms or challenges</w:t>
      </w:r>
    </w:p>
    <w:p>
      <w:pPr>
        <w:pStyle w:val="ListBullet"/>
      </w:pPr>
      <w:r>
        <w:t>Resolution: European expansion will drive meaningful 2026 revenue growth (Resolves at earnings (2026-05-05)) — resolves revenue_growth; confirms or challenges</w:t>
      </w:r>
    </w:p>
    <w:p>
      <w:pPr>
        <w:pStyle w:val="ListBullet"/>
      </w:pPr>
      <w:r>
        <w:t>Resolution: Investment spending is temporary and margins will quickly recover (Resolves at earnings (2026-05-05)) — resolves revenue_growth; confirms or challenges</w:t>
      </w:r>
    </w:p>
    <w:p>
      <w:pPr>
        <w:pStyle w:val="ListBullet"/>
      </w:pPr>
      <w:r>
        <w:t>Specific dollar amounts for European expansion investments that CFO refused to disclose (Unknown timing) — resolves multiple; resolves uncertainty</w:t>
      </w:r>
    </w:p>
    <w:p>
      <w:pPr>
        <w:pStyle w:val="ListBullet"/>
      </w:pPr>
      <w:r>
        <w:t>Quarterly breakdown of clinical trial spending impact on operating expenses (Unknown timing) — resolves multiple; resolves uncertainty</w:t>
      </w:r>
    </w:p>
    <w:p>
      <w:pPr>
        <w:pStyle w:val="SectionHeading"/>
      </w:pPr>
      <w:r>
        <w:t>5. Risks, Blind Spots &amp; Kill Criteria</w:t>
      </w:r>
    </w:p>
    <w:p>
      <w:pPr>
        <w:pStyle w:val="SubHeading"/>
      </w:pPr>
      <w:r>
        <w:t>Top risks:</w:t>
      </w:r>
    </w:p>
    <w:p>
      <w:pPr>
        <w:pStyle w:val="ListBullet"/>
      </w:pPr>
      <w:r>
        <w:t>Investment spending is temporary and margins will quickly recover — counter: CFO explicitly guided margins 'up to approximately 250 basis points below 2025 full-year levels' and refused to quantify European investment amounts when pressed by analysts [serious]</w:t>
      </w:r>
    </w:p>
    <w:p>
      <w:pPr>
        <w:pStyle w:val="ListBullet"/>
      </w:pPr>
      <w:r>
        <w:t>European expansion will drive meaningful 2026 revenue growth — counter: International revenue was only $16.7M in 2025 (3% of total) with just 9.3% growth, while management noted 'significant challenges of even securing logistics to move organs even within Italy' [moderate]</w:t>
      </w:r>
    </w:p>
    <w:p>
      <w:pPr>
        <w:pStyle w:val="KillCriteria"/>
      </w:pPr>
      <w:r>
        <w:t>What would change our mind: Unable to close gap: Specific dollar amounts for European expansion investments that CFO refused to disclose</w:t>
      </w:r>
    </w:p>
    <w:p>
      <w:pPr>
        <w:pStyle w:val="SectionHeading"/>
      </w:pPr>
      <w:r>
        <w:t>Appendix</w:t>
      </w:r>
    </w:p>
    <w:p>
      <w:pPr>
        <w:pStyle w:val="SubHeading"/>
      </w:pPr>
      <w:r>
        <w:t>Business context:</w:t>
      </w:r>
    </w:p>
    <w:p>
      <w:r>
        <w:t>TransMedics provides organ preservation technology (OCS) and logistics services (NOP program) to expand utilization of donor organs for transplantation. The company operates primarily in the U.S. across liver, heart, and lung transplants, with early-stage international expansion.</w:t>
      </w:r>
    </w:p>
    <w:p>
      <w:pPr>
        <w:pStyle w:val="SubHeading"/>
      </w:pPr>
      <w:r>
        <w:t>Evidence gaps (research TODO):</w:t>
      </w:r>
    </w:p>
    <w:p>
      <w:pPr>
        <w:pStyle w:val="ListBullet"/>
      </w:pPr>
      <w:r>
        <w:t>Specific dollar amounts for European expansion investments that CFO refused to disclose</w:t>
      </w:r>
    </w:p>
    <w:p>
      <w:pPr>
        <w:pStyle w:val="ListBullet"/>
      </w:pPr>
      <w:r>
        <w:t>Quarterly breakdown of clinical trial spending impact on operating expenses</w:t>
      </w:r>
    </w:p>
    <w:p>
      <w:pPr>
        <w:pStyle w:val="ListBullet"/>
      </w:pPr>
      <w:r>
        <w:t>Detailed timeline for European logistics network operational milestones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