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TTWO — TTWO</w:t>
      </w:r>
    </w:p>
    <w:p>
      <w:pPr>
        <w:pStyle w:val="SmallMeta"/>
      </w:pPr>
      <w:r>
        <w:t>As of 2026-04-20  |  Schema: general  |  Data: polygon+alpha_vantage (FY2025)</w:t>
      </w:r>
    </w:p>
    <w:p>
      <w:pPr>
        <w:pStyle w:val="SubHeading"/>
      </w:pPr>
      <w:r>
        <w:rPr>
          <w:color w:val="8C1D40"/>
        </w:rPr>
        <w:t>Direction: SHORT | Current: $216.11</w:t>
      </w:r>
    </w:p>
    <w:p>
      <w:pPr>
        <w:pStyle w:val="SubHeading"/>
      </w:pPr>
      <w:r>
        <w:t>Summary</w:t>
      </w:r>
    </w:p>
    <w:p>
      <w:pPr>
        <w:pStyle w:val="ListBullet"/>
      </w:pPr>
      <w:r>
        <w:t>Thesis: The street underestimates the margin compression from TTWO's aggressive development scaling and overestimates the sustainability of current recurrent spending growth rates. The company expanded development headcount significantly post-Zynga but faces declining productivity per developer and higher user acquisition costs in mobile, creating structural margin pressure that consensus hasn't fully captured.</w:t>
      </w:r>
    </w:p>
    <w:p>
      <w:pPr>
        <w:pStyle w:val="ListBullet"/>
      </w:pPr>
      <w:r>
        <w:t>Next catalyst: Next quarterly earnings report (2026-05-14 (24 days))</w:t>
      </w:r>
    </w:p>
    <w:p>
      <w:pPr>
        <w:pStyle w:val="ListBullet"/>
      </w:pPr>
      <w:r>
        <w:t>Top risk: Bulls assume operating leverage will drive massive margin expansion as revenue scales</w:t>
      </w:r>
    </w:p>
    <w:p>
      <w:pPr>
        <w:pStyle w:val="SectionHeading"/>
      </w:pPr>
      <w:r>
        <w:t>1. Edge</w:t>
      </w:r>
    </w:p>
    <w:p>
      <w:r>
        <w:t>The street underestimates the margin compression from TTWO's aggressive development scaling and overestimates the sustainability of current recurrent spending growth rates. The company expanded development headcount significantly post-Zynga but faces declining productivity per developer and higher user acquisition costs in mobile, creating structural margin pressure that consensus hasn't fully captured.</w:t>
      </w:r>
    </w:p>
    <w:p>
      <w:r>
        <w:t>Consensus likely assumes operating leverage will quickly return as revenue scales, but the earnings calls show management investing heavily in user acquisition (mentioned as reason for higher OpEx in Q2 2026) and performance-based compensation rising with strong results. The FY2025 financials show massive D&amp;A of $1.34B suggesting heavy recent capex that will continue pressuring margins. Management's focus on 'expanded development capacity' indicates they're prioritizing growth investment over near-term profitability.</w:t>
      </w:r>
    </w:p>
    <w:p>
      <w:r>
        <w:t>The debate: The market is focused on GTA 6's delayed launch (pushed to November 2026) and whether TTWO can sustain growth momentum from existing franchises while managing elevated development costs. Consensus expects strong recovery to $7.78 EPS despite current massive losses.</w:t>
      </w:r>
    </w:p>
    <w:p>
      <w:pPr>
        <w:pStyle w:val="SubHeading"/>
      </w:pPr>
      <w:r>
        <w:t>What consensus assumes:</w:t>
      </w:r>
    </w:p>
    <w:p>
      <w:pPr>
        <w:pStyle w:val="ListBullet"/>
      </w:pPr>
      <w:r>
        <w:t>revenue_growth_pct: Street likely assumes 16% revenue growth ($5.63B to $6.56B consensus) driven by strong mobile performance, NBA 2K franchise strength, and pre-GTA 6 momentum building. This seems reasonable given recent call performance where they've consistently beaten guidance.</w:t>
      </w:r>
    </w:p>
    <w:p>
      <w:pPr>
        <w:pStyle w:val="ListBullet"/>
      </w:pPr>
      <w:r>
        <w:t>cogs_delta_bps: Consensus probably assumes cost leverage as revenue scales, expecting COGS margin improvement of 100-200bps. However, mobile user acquisition costs are rising and console development costs continue escalating.</w:t>
      </w:r>
    </w:p>
    <w:p>
      <w:pPr>
        <w:pStyle w:val="ListBullet"/>
      </w:pPr>
      <w:r>
        <w:t>opex_delta_bps: Street likely models significant operating leverage, assuming OpEx grows slower than revenue as the business scales. But recent calls show management investing aggressively in development capacity and user acquisition.</w:t>
      </w:r>
    </w:p>
    <w:p>
      <w:pPr>
        <w:pStyle w:val="SubHeading"/>
      </w:pPr>
      <w:r>
        <w:t>Where we differ from guidance:</w:t>
      </w:r>
    </w:p>
    <w:p>
      <w:pPr>
        <w:pStyle w:val="ListBullet"/>
      </w:pPr>
      <w:r>
        <w:t>revenue_growth_pct: Management raised FY2026 guidance to $6.65-6.7B in Q3 call, implying strong confidence in current momentum. We're slightly more conservative at 14% growth given mobile market headwinds and potential console cycle maturity, though their track record of beating guidance is strong.</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+11.00%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base_franchise_growth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Q3 2026 call, management highlighted NBA 2K growing 30% year-over-year with recurrent spending hitting franchise records, while GTA Online grew 27% despi</w:t>
            </w:r>
          </w:p>
        </w:tc>
      </w:tr>
      <w:tr>
        <w:tc>
          <w:tcPr>
            <w:tcW w:type="dxa" w:w="2448"/>
            <w:tcBorders>
              <w:top w:val="single" w:sz="4" w:color="BDC3C7"/>
              <w:bottom w:val="single" w:sz="4" w:color="BDC3C7"/>
              <w:left w:val="single" w:sz="4" w:color="BDC3C7"/>
              <w:right w:val="single" w:sz="4" w:color="BDC3C7"/>
            </w:tcBorders>
          </w:tcPr>
          <w:p>
            <w:r>
              <w:t xml:space="preserve">    new_title_contribution</w:t>
            </w:r>
          </w:p>
        </w:tc>
        <w:tc>
          <w:tcPr>
            <w:tcW w:type="dxa" w:w="2448"/>
            <w:tcBorders>
              <w:top w:val="single" w:sz="4" w:color="BDC3C7"/>
              <w:bottom w:val="single" w:sz="4" w:color="BDC3C7"/>
              <w:left w:val="single" w:sz="4" w:color="BDC3C7"/>
              <w:right w:val="single" w:sz="4" w:color="BDC3C7"/>
            </w:tcBorders>
          </w:tcPr>
          <w:p>
            <w:r>
              <w:t>+4.00%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 mentioned launching WWE 2K26, Civilization VII, and PGA Tour 2K25 in upcoming quarters per the Q3 2026 call, but provided limited visibility on perfo</w:t>
            </w:r>
          </w:p>
        </w:tc>
      </w:tr>
      <w:tr>
        <w:tc>
          <w:tcPr>
            <w:tcW w:type="dxa" w:w="2448"/>
            <w:tcBorders>
              <w:top w:val="single" w:sz="4" w:color="BDC3C7"/>
              <w:bottom w:val="single" w:sz="4" w:color="BDC3C7"/>
              <w:left w:val="single" w:sz="4" w:color="BDC3C7"/>
              <w:right w:val="single" w:sz="4" w:color="BDC3C7"/>
            </w:tcBorders>
          </w:tcPr>
          <w:p>
            <w:r>
              <w:t xml:space="preserve">    mobile_portfolio_momentum</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The Q3 2026 call highlighted mobile advertising revenues grew 10% with higher ARPDAU, and management expressed confidence that direct-to-consumer mobile revenue</w:t>
            </w:r>
          </w:p>
        </w:tc>
      </w:tr>
    </w:tbl>
    <w:p>
      <w:pPr>
        <w:pStyle w:val="SubHeading"/>
      </w:pPr>
      <w:r>
        <w:t>Bear revisions:</w:t>
      </w:r>
    </w:p>
    <w:p>
      <w:pPr>
        <w:pStyle w:val="ListBullet"/>
      </w:pPr>
      <w:r>
        <w:t>revenue_growth.base_franchise_growth: 8.0 → 5.0 — If mobile user acquisition becomes prohibitively expensive and console market matures faster than expected, core franchise growth could decelerate. NBA 2K's 30% growth may not be sustainable, and GTA Online is a very mature title.</w:t>
      </w:r>
    </w:p>
    <w:p>
      <w:pPr>
        <w:pStyle w:val="SectionHeading"/>
      </w:pPr>
      <w:r>
        <w:t>3. Consensus Gap &amp; Valuation</w:t>
      </w:r>
    </w:p>
    <w:p>
      <w:r>
        <w:t>Our estimate: EPS $6.14 vs. consensus $7.78 ($1.64 / 21.1% below).</w:t>
      </w:r>
    </w:p>
    <w:p>
      <w:r>
        <w:t>Our estimate is $1.64 (21.1%) below consensus $7.78. Primary driver: revenue_growth.mobile_portfolio_momentum (ours +2.0 vs street +18.7, contributing $-3.670 to EPS variant, evidence: moderate). Variant appears NOT fully priced in based on available market data. Next catalyst: Next quarterly earnings report (2026-05-14 (24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revenue_growth.mobile_portfolio_momentum</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+18.68</w:t>
            </w:r>
          </w:p>
        </w:tc>
        <w:tc>
          <w:tcPr>
            <w:tcW w:type="dxa" w:w="1958"/>
            <w:tcBorders>
              <w:top w:val="single" w:sz="4" w:color="BDC3C7"/>
              <w:bottom w:val="single" w:sz="4" w:color="BDC3C7"/>
              <w:left w:val="single" w:sz="4" w:color="BDC3C7"/>
              <w:right w:val="single" w:sz="4" w:color="BDC3C7"/>
            </w:tcBorders>
          </w:tcPr>
          <w:p>
            <w:r>
              <w:t>-3.670</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revenue_growth.new_title_contribution</w:t>
            </w:r>
          </w:p>
        </w:tc>
        <w:tc>
          <w:tcPr>
            <w:tcW w:type="dxa" w:w="1958"/>
            <w:tcBorders>
              <w:top w:val="single" w:sz="4" w:color="BDC3C7"/>
              <w:bottom w:val="single" w:sz="4" w:color="BDC3C7"/>
              <w:left w:val="single" w:sz="4" w:color="BDC3C7"/>
              <w:right w:val="single" w:sz="4" w:color="BDC3C7"/>
            </w:tcBorders>
          </w:tcPr>
          <w:p>
            <w:r>
              <w:t>+4.00</w:t>
            </w:r>
          </w:p>
        </w:tc>
        <w:tc>
          <w:tcPr>
            <w:tcW w:type="dxa" w:w="1958"/>
            <w:tcBorders>
              <w:top w:val="single" w:sz="4" w:color="BDC3C7"/>
              <w:bottom w:val="single" w:sz="4" w:color="BDC3C7"/>
              <w:left w:val="single" w:sz="4" w:color="BDC3C7"/>
              <w:right w:val="single" w:sz="4" w:color="BDC3C7"/>
            </w:tcBorders>
          </w:tcPr>
          <w:p>
            <w:r>
              <w:t>+18.68</w:t>
            </w:r>
          </w:p>
        </w:tc>
        <w:tc>
          <w:tcPr>
            <w:tcW w:type="dxa" w:w="1958"/>
            <w:tcBorders>
              <w:top w:val="single" w:sz="4" w:color="BDC3C7"/>
              <w:bottom w:val="single" w:sz="4" w:color="BDC3C7"/>
              <w:left w:val="single" w:sz="4" w:color="BDC3C7"/>
              <w:right w:val="single" w:sz="4" w:color="BDC3C7"/>
            </w:tcBorders>
          </w:tcPr>
          <w:p>
            <w:r>
              <w:t>-3.230</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revenue_growth.base_franchise_growth</w:t>
            </w:r>
          </w:p>
        </w:tc>
        <w:tc>
          <w:tcPr>
            <w:tcW w:type="dxa" w:w="1958"/>
            <w:tcBorders>
              <w:top w:val="single" w:sz="4" w:color="BDC3C7"/>
              <w:bottom w:val="single" w:sz="4" w:color="BDC3C7"/>
              <w:left w:val="single" w:sz="4" w:color="BDC3C7"/>
              <w:right w:val="single" w:sz="4" w:color="BDC3C7"/>
            </w:tcBorders>
          </w:tcPr>
          <w:p>
            <w:r>
              <w:t>+5.00</w:t>
            </w:r>
          </w:p>
        </w:tc>
        <w:tc>
          <w:tcPr>
            <w:tcW w:type="dxa" w:w="1958"/>
            <w:tcBorders>
              <w:top w:val="single" w:sz="4" w:color="BDC3C7"/>
              <w:bottom w:val="single" w:sz="4" w:color="BDC3C7"/>
              <w:left w:val="single" w:sz="4" w:color="BDC3C7"/>
              <w:right w:val="single" w:sz="4" w:color="BDC3C7"/>
            </w:tcBorders>
          </w:tcPr>
          <w:p>
            <w:r>
              <w:t>+18.68</w:t>
            </w:r>
          </w:p>
        </w:tc>
        <w:tc>
          <w:tcPr>
            <w:tcW w:type="dxa" w:w="1958"/>
            <w:tcBorders>
              <w:top w:val="single" w:sz="4" w:color="BDC3C7"/>
              <w:bottom w:val="single" w:sz="4" w:color="BDC3C7"/>
              <w:left w:val="single" w:sz="4" w:color="BDC3C7"/>
              <w:right w:val="single" w:sz="4" w:color="BDC3C7"/>
            </w:tcBorders>
          </w:tcPr>
          <w:p>
            <w:r>
              <w:t>-3.010</w:t>
            </w:r>
          </w:p>
        </w:tc>
        <w:tc>
          <w:tcPr>
            <w:tcW w:type="dxa" w:w="1958"/>
            <w:tcBorders>
              <w:top w:val="single" w:sz="4" w:color="BDC3C7"/>
              <w:bottom w:val="single" w:sz="4" w:color="BDC3C7"/>
              <w:left w:val="single" w:sz="4" w:color="BDC3C7"/>
              <w:right w:val="single" w:sz="4" w:color="BDC3C7"/>
            </w:tcBorders>
          </w:tcPr>
          <w:p>
            <w:r>
              <w:t>0.65</w:t>
            </w:r>
          </w:p>
        </w:tc>
      </w:tr>
    </w:tbl>
    <w:p>
      <w:r>
        <w:t>Priced in: not fully — Variant (-21.1%) exceeds implied move (2.3%)</w:t>
      </w:r>
    </w:p>
    <w:p>
      <w:r>
        <w:t>Edge verdict: ACTIONABLE_EDGE (score 0.230).</w:t>
      </w:r>
    </w:p>
    <w:p>
      <w:pPr>
        <w:pStyle w:val="SectionHeading"/>
      </w:pPr>
      <w:r>
        <w:t>4. Catalysts</w:t>
      </w:r>
    </w:p>
    <w:p>
      <w:pPr>
        <w:pStyle w:val="ListBullet"/>
      </w:pPr>
      <w:r>
        <w:t>Next quarterly earnings report (2026-05-14 (24 days)) — resolves revenue + margins + guidance; confirms or challenges</w:t>
      </w:r>
    </w:p>
    <w:p>
      <w:pPr>
        <w:pStyle w:val="ListBullet"/>
      </w:pPr>
      <w:r>
        <w:t>Resolution: Bulls assume operating leverage will drive massive margin expansion as revenue s (Multi-year thesis -- patience required) — resolves operating_expense_change; confirms or challenges</w:t>
      </w:r>
    </w:p>
    <w:p>
      <w:pPr>
        <w:pStyle w:val="ListBullet"/>
      </w:pPr>
      <w:r>
        <w:t>Resolution: Mobile business provides stable, high-margin growth that will drive profitabilit (Resolves at earnings (2026-05-14)) — resolves cost_of_goods_sold_change; confirms or challenges</w:t>
      </w:r>
    </w:p>
    <w:p>
      <w:pPr>
        <w:pStyle w:val="ListBullet"/>
      </w:pPr>
      <w:r>
        <w:t>Specific breakdown of mobile user acquisition costs and return on ad spend trends (Unknown timing) — resolves multiple; resolves uncertainty</w:t>
      </w:r>
    </w:p>
    <w:p>
      <w:pPr>
        <w:pStyle w:val="ListBullet"/>
      </w:pPr>
      <w:r>
        <w:t>Detailed development headcount numbers and productivity metrics per developer (Unknown timing) — resolves multiple; resolves uncertainty</w:t>
      </w:r>
    </w:p>
    <w:p>
      <w:pPr>
        <w:pStyle w:val="SectionHeading"/>
      </w:pPr>
      <w:r>
        <w:t>5. Risks, Blind Spots &amp; Kill Criteria</w:t>
      </w:r>
    </w:p>
    <w:p>
      <w:pPr>
        <w:pStyle w:val="SubHeading"/>
      </w:pPr>
      <w:r>
        <w:t>Top risks:</w:t>
      </w:r>
    </w:p>
    <w:p>
      <w:pPr>
        <w:pStyle w:val="ListBullet"/>
      </w:pPr>
      <w:r>
        <w:t>Bulls assume operating leverage will drive massive margin expansion as revenue scales — counter: The FY2025 financials show operating margin of -77.9% with $1.34B in D&amp;A suggesting massive ongoing investment. Recent earnings calls consistently mention higher personnel costs, user acquisition investments, and performance-based compensation rising with success, indicating the cost base is scaling alongside revenue growth rather than showing leverage. [serious]</w:t>
      </w:r>
    </w:p>
    <w:p>
      <w:pPr>
        <w:pStyle w:val="ListBullet"/>
      </w:pPr>
      <w:r>
        <w:t>Mobile business provides stable, high-margin growth that will drive profitability — counter: The Q2 2026 call specifically cited 'incremental user acquisition investments' in mobile as a reason for higher costs, and the Q1 2026 call noted they had to shift strategy 'from hypercasual to hybrid casual' suggesting competitive pressures. Management's excitement about direct-to-consumer being a 'meaningful growth driver' because it reduces platform fees implies current mobile margins are under pressure. [moderate]</w:t>
      </w:r>
    </w:p>
    <w:p>
      <w:pPr>
        <w:pStyle w:val="KillCriteria"/>
      </w:pPr>
      <w:r>
        <w:t>What would change our mind: Print on revenue_growth.mobile_portfolio_momentum comes in above our +2.0 figure (toward street +18.7) in the next 1-2 prints.</w:t>
      </w:r>
    </w:p>
    <w:p>
      <w:pPr>
        <w:pStyle w:val="SectionHeading"/>
      </w:pPr>
      <w:r>
        <w:t>Appendix</w:t>
      </w:r>
    </w:p>
    <w:p>
      <w:pPr>
        <w:pStyle w:val="SubHeading"/>
      </w:pPr>
      <w:r>
        <w:t>Business context:</w:t>
      </w:r>
    </w:p>
    <w:p>
      <w:r>
        <w:t>Take-Two Interactive is a video game publisher with three main revenue streams: premium console/PC titles (NBA 2K, Grand Theft Auto, Red Dead Redemption), mobile games (Zynga portfolio including Toon Blast, Match Factory), and recurrent consumer spending (in-game purchases, subscriptions). The company generates revenue through initial game sales and ongoing monetization of live-service content.</w:t>
      </w:r>
    </w:p>
    <w:p>
      <w:pPr>
        <w:pStyle w:val="SubHeading"/>
      </w:pPr>
      <w:r>
        <w:t>Evidence gaps (research TODO):</w:t>
      </w:r>
    </w:p>
    <w:p>
      <w:pPr>
        <w:pStyle w:val="ListBullet"/>
      </w:pPr>
      <w:r>
        <w:t>Specific breakdown of mobile user acquisition costs and return on ad spend trends</w:t>
      </w:r>
    </w:p>
    <w:p>
      <w:pPr>
        <w:pStyle w:val="ListBullet"/>
      </w:pPr>
      <w:r>
        <w:t>Detailed development headcount numbers and productivity metrics per developer</w:t>
      </w:r>
    </w:p>
    <w:p>
      <w:pPr>
        <w:pStyle w:val="ListBullet"/>
      </w:pPr>
      <w:r>
        <w:t>Platform fee rates and direct-to-consumer conversion rates</w:t>
      </w:r>
    </w:p>
    <w:p>
      <w:pPr>
        <w:pStyle w:val="ListBullet"/>
      </w:pPr>
      <w:r>
        <w:t>Specific margin profile differences between mobile, console, and recurrent spending revenue streams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