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WING — WING</w:t>
      </w:r>
    </w:p>
    <w:p>
      <w:pPr>
        <w:pStyle w:val="SmallMeta"/>
      </w:pPr>
      <w:r>
        <w:t>As of 2026-04-28  |  Schema: franchise_restaurant  |  Data: polygon+alpha_vantage (FY2025)</w:t>
      </w:r>
    </w:p>
    <w:p>
      <w:pPr>
        <w:pStyle w:val="SubHeading"/>
      </w:pPr>
      <w:r>
        <w:rPr>
          <w:color w:val="8C1D40"/>
        </w:rPr>
        <w:t>Direction: SHORT | Current: $172.97</w:t>
      </w:r>
    </w:p>
    <w:p>
      <w:pPr>
        <w:pStyle w:val="SubHeading"/>
      </w:pPr>
      <w:r>
        <w:t>Summary</w:t>
      </w:r>
    </w:p>
    <w:p>
      <w:pPr>
        <w:pStyle w:val="ListBullet"/>
      </w:pPr>
      <w:r>
        <w:t>Thesis: No clear edge identified -- our estimate aligns closely with consensus expectations given balanced risks around same-store sales recovery timing.</w:t>
      </w:r>
    </w:p>
    <w:p>
      <w:pPr>
        <w:pStyle w:val="ListBullet"/>
      </w:pPr>
      <w:r>
        <w:t>Next catalyst: Next quarterly earnings report (~60 days)</w:t>
      </w:r>
    </w:p>
    <w:p>
      <w:pPr>
        <w:pStyle w:val="ListBullet"/>
      </w:pPr>
      <w:r>
        <w:t>Top risk: No clear edge identified -- estimate aligns closely with consensus expectations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4 finding(s) — cited→inferred: 4</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$2.00 is 55% below consensus $4.44. Claims this extreme require specific named catastrophic (or windfall) mechanisms — review the brief + adversarial output and confirm the thesis supports this magnitude, or treat the number as mis-calibrated.</w:t>
            </w:r>
          </w:p>
        </w:tc>
      </w:tr>
    </w:tbl>
    <w:p>
      <w:pPr>
        <w:pStyle w:val="SectionHeading"/>
      </w:pPr>
      <w:r>
        <w:t>1. Edge</w:t>
      </w:r>
    </w:p>
    <w:p>
      <w:pPr>
        <w:pStyle w:val="SubHeading"/>
      </w:pPr>
      <w:r>
        <w:t>Published anchors (reference):</w:t>
      </w:r>
    </w:p>
    <w:p>
      <w:pPr>
        <w:pStyle w:val="SubHeading"/>
      </w:pPr>
      <w:r>
        <w:t>Management guidance:</w:t>
      </w:r>
    </w:p>
    <w:p>
      <w:pPr>
        <w:pStyle w:val="ListBullet"/>
      </w:pPr>
      <w:r>
        <w:t>Average Unit Volume Auv (target): $3M  — Deck p.6</w:t>
      </w:r>
    </w:p>
    <w:p>
      <w:pPr>
        <w:pStyle w:val="ListBullet"/>
      </w:pPr>
      <w:r>
        <w:t>Global Restaurant Potential (long-term): 10,000+  — Deck p.6</w:t>
      </w:r>
    </w:p>
    <w:p>
      <w:pPr>
        <w:pStyle w:val="ListBullet"/>
      </w:pPr>
      <w:r>
        <w:t>Average Unit Volume Auv (2025): $2.1M  — Deck p.16</w:t>
      </w:r>
    </w:p>
    <w:p>
      <w:pPr>
        <w:pStyle w:val="ListBullet"/>
      </w:pPr>
      <w:r>
        <w:t>Average Unit Volume Auv (future): $3M  — Deck p.16</w:t>
      </w:r>
    </w:p>
    <w:p>
      <w:pPr>
        <w:pStyle w:val="ListBullet"/>
      </w:pPr>
      <w:r>
        <w:t>Revenue (target): 50%  — Deck p.28</w:t>
      </w:r>
    </w:p>
    <w:p>
      <w:pPr>
        <w:pStyle w:val="ListBullet"/>
      </w:pPr>
      <w:r>
        <w:t>Domestic Market Restaurant Potential (long-term): 6,000+  — Deck p.41</w:t>
      </w:r>
    </w:p>
    <w:p>
      <w:pPr>
        <w:pStyle w:val="ListBullet"/>
      </w:pPr>
      <w:r>
        <w:t>International Market Restaurant Potential (long-term): 4,000+  — Deck p.41</w:t>
      </w:r>
    </w:p>
    <w:p>
      <w:pPr>
        <w:pStyle w:val="ListBullet"/>
      </w:pPr>
      <w:r>
        <w:t>Cash On Cash Returns (target): 70%+  — Deck p.53</w:t>
      </w:r>
    </w:p>
    <w:p>
      <w:pPr>
        <w:pStyle w:val="PullQuote"/>
      </w:pPr>
      <w:r>
        <w:t>No structured edge identified — our estimate is within consensus range or no claim passed the public-data discipline.</w:t>
      </w:r>
    </w:p>
    <w:p>
      <w:r>
        <w:t>No clear edge identified -- our estimate aligns closely with consensus expectations given balanced risks around same-store sales recovery timing.</w:t>
      </w:r>
    </w:p>
    <w:p>
      <w:r>
        <w:t>The debate: Whether Wingstop can return to positive same-store sales growth in 2026 after its first decline in 22 years (-3% in 2025), and if the Smart Kitchen technology rollout can drive the path to $3M AUVs.</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same_store_sales_growth</w:t>
            </w:r>
          </w:p>
        </w:tc>
        <w:tc>
          <w:tcPr>
            <w:tcW w:type="dxa" w:w="1958"/>
            <w:tcBorders>
              <w:top w:val="single" w:sz="4" w:color="BDC3C7"/>
              <w:bottom w:val="single" w:sz="4" w:color="BDC3C7"/>
              <w:left w:val="single" w:sz="4" w:color="BDC3C7"/>
              <w:right w:val="single" w:sz="4" w:color="BDC3C7"/>
            </w:tcBorders>
          </w:tcPr>
          <w:p>
            <w:r>
              <w:rPr>
                <w:b/>
              </w:rPr>
              <w:t>+1.18%</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traffic_growth</w:t>
            </w:r>
          </w:p>
        </w:tc>
        <w:tc>
          <w:tcPr>
            <w:tcW w:type="dxa" w:w="1958"/>
            <w:tcBorders>
              <w:top w:val="single" w:sz="4" w:color="BDC3C7"/>
              <w:bottom w:val="single" w:sz="4" w:color="BDC3C7"/>
              <w:left w:val="single" w:sz="4" w:color="BDC3C7"/>
              <w:right w:val="single" w:sz="4" w:color="BDC3C7"/>
            </w:tcBorders>
          </w:tcPr>
          <w:p>
            <w:r>
              <w:t>+0.18%</w:t>
            </w:r>
          </w:p>
        </w:tc>
        <w:tc>
          <w:tcPr>
            <w:tcW w:type="dxa" w:w="1958"/>
            <w:tcBorders>
              <w:top w:val="single" w:sz="4" w:color="BDC3C7"/>
              <w:bottom w:val="single" w:sz="4" w:color="BDC3C7"/>
              <w:left w:val="single" w:sz="4" w:color="BDC3C7"/>
              <w:right w:val="single" w:sz="4" w:color="BDC3C7"/>
            </w:tcBorders>
          </w:tcPr>
          <w:p>
            <w:r>
              <w:t>0.45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Q4 2025 earnings call, management noted that company-owned restaurants with Smart Kitchen delivered +1.6% same-store sales growth versus -3% system-wide, suggesting traffic benefits from improved speed and consist  [auto-downgraded: basis contains numbers not found in corpus: +1.6%, -3%]</w:t>
            </w:r>
          </w:p>
        </w:tc>
      </w:tr>
      <w:tr>
        <w:tc>
          <w:tcPr>
            <w:tcW w:type="dxa" w:w="1958"/>
            <w:tcBorders>
              <w:top w:val="single" w:sz="4" w:color="BDC3C7"/>
              <w:bottom w:val="single" w:sz="4" w:color="BDC3C7"/>
              <w:left w:val="single" w:sz="4" w:color="BDC3C7"/>
              <w:right w:val="single" w:sz="4" w:color="BDC3C7"/>
            </w:tcBorders>
          </w:tcPr>
          <w:p>
            <w:r>
              <w:t xml:space="preserve">    average_ticket_growth</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Food away from home CPI increased 3.8% YoY as of March 2026, providing pricing cover for restaurants. Wingstop historically takes modest annual price increases. Management has not signaled aggressive pricing for 2026, fo</w:t>
            </w:r>
          </w:p>
        </w:tc>
      </w:tr>
      <w:tr>
        <w:tc>
          <w:tcPr>
            <w:tcW w:type="dxa" w:w="1958"/>
            <w:tcBorders>
              <w:top w:val="single" w:sz="4" w:color="BDC3C7"/>
              <w:bottom w:val="single" w:sz="4" w:color="BDC3C7"/>
              <w:left w:val="single" w:sz="4" w:color="BDC3C7"/>
              <w:right w:val="single" w:sz="4" w:color="BDC3C7"/>
            </w:tcBorders>
          </w:tcPr>
          <w:p>
            <w:r>
              <w:rPr>
                <w:b/>
              </w:rPr>
              <w:t>unit_growth</w:t>
            </w:r>
          </w:p>
        </w:tc>
        <w:tc>
          <w:tcPr>
            <w:tcW w:type="dxa" w:w="1958"/>
            <w:tcBorders>
              <w:top w:val="single" w:sz="4" w:color="BDC3C7"/>
              <w:bottom w:val="single" w:sz="4" w:color="BDC3C7"/>
              <w:left w:val="single" w:sz="4" w:color="BDC3C7"/>
              <w:right w:val="single" w:sz="4" w:color="BDC3C7"/>
            </w:tcBorders>
          </w:tcPr>
          <w:p>
            <w:r>
              <w:rPr>
                <w:b/>
              </w:rPr>
              <w:t>350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net_new_restaurants</w:t>
            </w:r>
          </w:p>
        </w:tc>
        <w:tc>
          <w:tcPr>
            <w:tcW w:type="dxa" w:w="1958"/>
            <w:tcBorders>
              <w:top w:val="single" w:sz="4" w:color="BDC3C7"/>
              <w:bottom w:val="single" w:sz="4" w:color="BDC3C7"/>
              <w:left w:val="single" w:sz="4" w:color="BDC3C7"/>
              <w:right w:val="single" w:sz="4" w:color="BDC3C7"/>
            </w:tcBorders>
          </w:tcPr>
          <w:p>
            <w:r>
              <w:t>350</w:t>
            </w:r>
          </w:p>
        </w:tc>
        <w:tc>
          <w:tcPr>
            <w:tcW w:type="dxa" w:w="1958"/>
            <w:tcBorders>
              <w:top w:val="single" w:sz="4" w:color="BDC3C7"/>
              <w:bottom w:val="single" w:sz="4" w:color="BDC3C7"/>
              <w:left w:val="single" w:sz="4" w:color="BDC3C7"/>
              <w:right w:val="single" w:sz="4" w:color="BDC3C7"/>
            </w:tcBorders>
          </w:tcPr>
          <w:p>
            <w:r>
              <w:t>0.70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guided 15-16% global unit growth for 2026 on the Q4 2025 call, which translates to ~385-410 net new restaurants from the current base of ~2,560 units. CFO noted 'Based on the strength of our committed pipeline  [auto-downgraded: basis contains numbers not found in corpus: 560 units]</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same_store_sales_growth.traffic_growth: 0.5 → -1.0 — If consumer pressure intensifies or Smart Kitchen benefits prove slower to materialize, traffic could remain negative. Rising unemployment and declining consumer sentiment support this risk.</w:t>
      </w:r>
    </w:p>
    <w:p>
      <w:pPr>
        <w:pStyle w:val="ListBullet"/>
      </w:pPr>
      <w:r>
        <w:t>unit_growth.net_new_restaurants: 400 → 350 — If franchisee cash flows deteriorate from prolonged same-store sales weakness, development could slow below guidance despite current pipeline strength.</w:t>
      </w:r>
    </w:p>
    <w:p>
      <w:pPr>
        <w:pStyle w:val="PullQuote"/>
      </w:pPr>
      <w:r>
        <w:t>Counter: the analyst claims Same-store sales can recover to positive territory with 0.5% traffic growth and 1.0% ticket growth — but The analyst failed the mandatory franchise comp decomposition audit - none of the 5 required questions about what drove the previous +19.9% comp were answered. Without understanding whether growth came from new products, trial vs repeat occasions, or category ownership, the sustainability of any recovery is unknowable. The assumption appears to be pure mean reversion without fundamental support.</w:t>
      </w:r>
    </w:p>
    <w:p>
      <w:pPr>
        <w:pStyle w:val="SectionHeading"/>
      </w:pPr>
      <w:r>
        <w:t>3. Consensus Gap &amp; Valuation</w:t>
      </w:r>
    </w:p>
    <w:p>
      <w:r>
        <w:t>Our estimate: EPS $2.00 vs. consensus $4.44 ($2.44 / 55.0% below).</w:t>
      </w:r>
    </w:p>
    <w:p>
      <w:r>
        <w:t>Our estimate is $2.44 (55.0%) below consensus $4.44. No single driver within plausible bounds can close the gap to consensus when other drivers are held at our values; the EPS variant is diffuse (top magnitude: same_store_sales_growth.traffic_growth). Variant appears NOT fully priced in based on available market data. Next catalyst: Next quarterly earnings report (~60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same_store_sales_growth.traffic_growth</w:t>
            </w:r>
          </w:p>
        </w:tc>
        <w:tc>
          <w:tcPr>
            <w:tcW w:type="dxa" w:w="1958"/>
            <w:tcBorders>
              <w:top w:val="single" w:sz="4" w:color="BDC3C7"/>
              <w:bottom w:val="single" w:sz="4" w:color="BDC3C7"/>
              <w:left w:val="single" w:sz="4" w:color="BDC3C7"/>
              <w:right w:val="single" w:sz="4" w:color="BDC3C7"/>
            </w:tcBorders>
          </w:tcPr>
          <w:p>
            <w:r>
              <w:t>+0.18</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same_store_sales_growth.average_ticket_growth</w:t>
            </w:r>
          </w:p>
        </w:tc>
        <w:tc>
          <w:tcPr>
            <w:tcW w:type="dxa" w:w="1958"/>
            <w:tcBorders>
              <w:top w:val="single" w:sz="4" w:color="BDC3C7"/>
              <w:bottom w:val="single" w:sz="4" w:color="BDC3C7"/>
              <w:left w:val="single" w:sz="4" w:color="BDC3C7"/>
              <w:right w:val="single" w:sz="4" w:color="BDC3C7"/>
            </w:tcBorders>
          </w:tcPr>
          <w:p>
            <w:r>
              <w:t>+1.00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unit_growth.net_new_restaurants</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+350.00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0.70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(-55.0%) exceeds implied move (6.6%). Short interest 13.6% neutral</w:t>
      </w:r>
    </w:p>
    <w:p>
      <w:r>
        <w:t>Edge verdict: ACTIONABLE_EDGE (score 0.280).</w:t>
      </w:r>
    </w:p>
    <w:p>
      <w:pPr>
        <w:pStyle w:val="PullQuote"/>
      </w:pPr>
      <w:r>
        <w:t>Counter: the analyst claims Consensus EPS target of $4.44 is achievable — but The analyst assumes unit growth can continue at 400 net adds while same-store sales are negative. Historically, franchise concepts see new unit development slow dramatically when existing locations struggle, as franchisee economics deteriorate and lending tightens. The valuation may be based on unsustainable unit growth assumptions.</w:t>
      </w:r>
    </w:p>
    <w:p>
      <w:pPr>
        <w:pStyle w:val="SectionHeading"/>
      </w:pPr>
      <w:r>
        <w:t>4. Catalysts</w:t>
      </w:r>
    </w:p>
    <w:p>
      <w:pPr>
        <w:pStyle w:val="ListBullet"/>
      </w:pPr>
      <w:r>
        <w:t>Next quarterly earnings report (~60 days) — resolves revenue + margins + guidance; confirms or challenges</w:t>
      </w:r>
    </w:p>
    <w:p>
      <w:pPr>
        <w:pStyle w:val="ListBullet"/>
      </w:pPr>
      <w:r>
        <w:t>Resolution: Smart Kitchen technology will drive meaningful same-store sales acceleration (Resolves over 2-4 quarters) — resolves same_store_sales_growth; confirms or challenges</w:t>
      </w:r>
    </w:p>
    <w:p>
      <w:pPr>
        <w:pStyle w:val="ListBullet"/>
      </w:pPr>
      <w:r>
        <w:t>Resolution: Consumer environment will improve meaningfully in 2026 (Resolves over 2-4 quarters) — resolves same_store_sales_growth; confirms or challenges</w:t>
      </w:r>
    </w:p>
    <w:p>
      <w:pPr>
        <w:pStyle w:val="ListBullet"/>
      </w:pPr>
      <w:r>
        <w:t>Resolution: Analyst blind spot (Multi-year thesis -- patience required) — resolves general; confirms or challenges</w:t>
      </w:r>
    </w:p>
    <w:p>
      <w:pPr>
        <w:pStyle w:val="ListBullet"/>
      </w:pPr>
      <w:r>
        <w:t>Specific timeline for Smart Kitchen benefits to fully materialize system-wide (Unknown timing) — resolves multiple; resolves uncertainty</w:t>
      </w:r>
    </w:p>
    <w:p>
      <w:pPr>
        <w:pStyle w:val="ListBullet"/>
      </w:pPr>
      <w:r>
        <w:t>Quantified impact of loyalty program launch on frequency and retention (Unknown timing) — resolves multiple; resolves uncertainty</w:t>
      </w:r>
    </w:p>
    <w:p>
      <w:pPr>
        <w:pStyle w:val="SectionHeading"/>
      </w:pPr>
      <w:r>
        <w:t>5. Risks, Blind Spots &amp; Kill Criteria</w:t>
      </w:r>
    </w:p>
    <w:p>
      <w:pPr>
        <w:pStyle w:val="SubHeading"/>
      </w:pPr>
      <w:r>
        <w:t>Top risks:</w:t>
      </w:r>
    </w:p>
    <w:p>
      <w:pPr>
        <w:pStyle w:val="ListBullet"/>
      </w:pPr>
      <w:r>
        <w:t>No clear edge identified -- estimate aligns closely with consensus expectations — counter: Filing shows 2024 same-store sales of +19.9% followed by guidance for 'low-to-mid single digit' 2025 growth, indicating a massive deceleration that consensus may not fully appreciate. BLS data shows food-away-from-home CPI at +3.8% YoY, suggesting pricing headwinds ahead. [serious]</w:t>
      </w:r>
    </w:p>
    <w:p>
      <w:pPr>
        <w:pStyle w:val="ListBullet"/>
      </w:pPr>
      <w:r>
        <w:t>Traffic growth assumption of 0.5% for same-store sales recovery — counter: Macro context shows consumer sentiment at 53.3 (-6.5% YoY) and unemployment at 4.30% (+2.4% YoY), indicating deteriorating consumer conditions. Food-at-home CPI at +1.9% vs food-away-from-home at +3.8% creates substitution pressure toward home cooking. [serious]</w:t>
      </w:r>
    </w:p>
    <w:p>
      <w:pPr>
        <w:pStyle w:val="ListBullet"/>
      </w:pPr>
      <w:r>
        <w:t>Smart Kitchen technology will drive meaningful same-store sales acceleration — counter: Despite Smart Kitchen rollout to 2,500+ restaurants in 2025, system-wide same-store sales declined -3% for the full year. Q4 2025 call noted 'restaurants begin seeing measurable improvements in guest scores following eight weeks of go-live' suggesting benefits take time to materialize. [moderate]</w:t>
      </w:r>
    </w:p>
    <w:p>
      <w:pPr>
        <w:pStyle w:val="SubHeading"/>
      </w:pPr>
      <w:r>
        <w:t>Blind spots (auditor-independent):</w:t>
      </w:r>
    </w:p>
    <w:p>
      <w:pPr>
        <w:pStyle w:val="ListBullet"/>
      </w:pPr>
      <w:r>
        <w:t>The analyst completely ignores the Smart Kitchen technology rollout timeline and capex requirements - deck shows $3M AUV target but no analysis of investment needed or payback period</w:t>
      </w:r>
    </w:p>
    <w:p>
      <w:pPr>
        <w:pStyle w:val="ListBullet"/>
      </w:pPr>
      <w:r>
        <w:t>No consideration of franchise health metrics - with current AUVs at $2.1M (per deck) and a -3% same-store sales environment, franchisee cash flows may be under severe stress</w:t>
      </w:r>
    </w:p>
    <w:p>
      <w:pPr>
        <w:pStyle w:val="ListBullet"/>
      </w:pPr>
      <w:r>
        <w:t>International expansion risks - 359 international locations with ambitious 10,000+ restaurant potential, but no analysis of execution capability or different market dynamics</w:t>
      </w:r>
    </w:p>
    <w:p>
      <w:pPr>
        <w:pStyle w:val="KillCriteria"/>
      </w:pPr>
      <w:r>
        <w:t>What would change our mind: Unable to close gap: Specific timeline for Smart Kitchen benefits to fully materialize system-wide</w:t>
      </w:r>
    </w:p>
    <w:p>
      <w:pPr>
        <w:pStyle w:val="SectionHeading"/>
      </w:pPr>
      <w:r>
        <w:t>Appendix</w:t>
      </w:r>
    </w:p>
    <w:p>
      <w:pPr>
        <w:pStyle w:val="SubHeading"/>
      </w:pPr>
      <w:r>
        <w:t>Evidence gaps (research TODO):</w:t>
      </w:r>
    </w:p>
    <w:p>
      <w:pPr>
        <w:pStyle w:val="ListBullet"/>
      </w:pPr>
      <w:r>
        <w:t>Specific timeline for Smart Kitchen benefits to fully materialize system-wide</w:t>
      </w:r>
    </w:p>
    <w:p>
      <w:pPr>
        <w:pStyle w:val="ListBullet"/>
      </w:pPr>
      <w:r>
        <w:t>Quantified impact of loyalty program launch on frequency and retention</w:t>
      </w:r>
    </w:p>
    <w:p>
      <w:pPr>
        <w:pStyle w:val="ListBullet"/>
      </w:pPr>
      <w:r>
        <w:t>International same-store sales performance and unit economics by market</w:t>
      </w:r>
    </w:p>
    <w:p>
      <w:pPr>
        <w:pStyle w:val="ListBullet"/>
      </w:pPr>
      <w:r>
        <w:t>Franchisee cash flow health and development capacity under current AUV levels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