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WING — WING</w:t>
      </w:r>
    </w:p>
    <w:p>
      <w:pPr>
        <w:pStyle w:val="SmallMeta"/>
      </w:pPr>
      <w:r>
        <w:t>As of 2026-04-28  |  Schema: franchise_restaurant  |  Data: polygon+alpha_vantage (FY2025)</w:t>
      </w:r>
    </w:p>
    <w:p>
      <w:pPr>
        <w:pStyle w:val="SubHeading"/>
      </w:pPr>
      <w:r>
        <w:rPr>
          <w:color w:val="8C1D40"/>
        </w:rPr>
        <w:t>Direction: SHORT | Current: $172.97</w:t>
      </w:r>
    </w:p>
    <w:p>
      <w:pPr>
        <w:pStyle w:val="SubHeading"/>
      </w:pPr>
      <w:r>
        <w:t>Summary</w:t>
      </w:r>
    </w:p>
    <w:p>
      <w:pPr>
        <w:pStyle w:val="ListBullet"/>
      </w:pPr>
      <w:r>
        <w:t>Thesis: Consensus forward EPS of $4.44 appears too low, underestimating the Smart Kitchen productivity benefits and unit growth acceleration that should drive stronger-than-expected franchise revenue growth.</w:t>
      </w:r>
    </w:p>
    <w:p>
      <w:pPr>
        <w:pStyle w:val="ListBullet"/>
      </w:pPr>
      <w:r>
        <w:t>Next catalyst: Next quarterly earnings report (~60 days)</w:t>
      </w:r>
    </w:p>
    <w:p>
      <w:pPr>
        <w:pStyle w:val="ListBullet"/>
      </w:pPr>
      <w:r>
        <w:t>Top risk: Analyst is SHORT the stock despite claiming 'consensus EPS appears too low' and expecting 'stronger-than-expected franchise revenue growth'</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3 finding(s) — cited→inferred: 3</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$1.98 is 55% below consensus $4.44. Claims this extreme require specific named catastrophic (or windfall) mechanisms — review the brief + adversarial output and confirm the thesis supports this magnitude, or treat the number as mis-calibrated.</w:t>
            </w:r>
          </w:p>
        </w:tc>
      </w:tr>
    </w:tbl>
    <w:p>
      <w:pPr>
        <w:pStyle w:val="SectionHeading"/>
      </w:pPr>
      <w:r>
        <w:t>1. Edge</w:t>
      </w:r>
    </w:p>
    <w:p>
      <w:pPr>
        <w:pStyle w:val="SubHeading"/>
      </w:pPr>
      <w:r>
        <w:t>Published anchors (reference):</w:t>
      </w:r>
    </w:p>
    <w:p>
      <w:pPr>
        <w:pStyle w:val="SubHeading"/>
      </w:pPr>
      <w:r>
        <w:t>Management guidance:</w:t>
      </w:r>
    </w:p>
    <w:p>
      <w:pPr>
        <w:pStyle w:val="ListBullet"/>
      </w:pPr>
      <w:r>
        <w:t>Average Unit Volume Auv (target): $3M  — Deck p.6</w:t>
      </w:r>
    </w:p>
    <w:p>
      <w:pPr>
        <w:pStyle w:val="ListBullet"/>
      </w:pPr>
      <w:r>
        <w:t>Global Restaurant Potential (long-term): 10,000+  — Deck p.6</w:t>
      </w:r>
    </w:p>
    <w:p>
      <w:pPr>
        <w:pStyle w:val="ListBullet"/>
      </w:pPr>
      <w:r>
        <w:t>Average Unit Volume Auv (2025): $2.1M  — Deck p.16</w:t>
      </w:r>
    </w:p>
    <w:p>
      <w:pPr>
        <w:pStyle w:val="ListBullet"/>
      </w:pPr>
      <w:r>
        <w:t>Average Unit Volume Auv (future): $3M  — Deck p.16</w:t>
      </w:r>
    </w:p>
    <w:p>
      <w:pPr>
        <w:pStyle w:val="ListBullet"/>
      </w:pPr>
      <w:r>
        <w:t>Revenue (target): 50%  — Deck p.28</w:t>
      </w:r>
    </w:p>
    <w:p>
      <w:pPr>
        <w:pStyle w:val="ListBullet"/>
      </w:pPr>
      <w:r>
        <w:t>Domestic Market Restaurant Potential (long-term): 6,000+  — Deck p.41</w:t>
      </w:r>
    </w:p>
    <w:p>
      <w:pPr>
        <w:pStyle w:val="ListBullet"/>
      </w:pPr>
      <w:r>
        <w:t>International Market Restaurant Potential (long-term): 4,000+  — Deck p.41</w:t>
      </w:r>
    </w:p>
    <w:p>
      <w:pPr>
        <w:pStyle w:val="ListBullet"/>
      </w:pPr>
      <w:r>
        <w:t>Cash On Cash Returns (target): 70%+  — Deck p.53</w:t>
      </w:r>
    </w:p>
    <w:p>
      <w:pPr>
        <w:pStyle w:val="PullQuote"/>
      </w:pPr>
      <w:r>
        <w:t>No structured edge identified — our estimate is within consensus range or no claim passed the public-data discipline. (1 candidate claim(s) were rejected at parse time; see Risks section appendix for reasons.)</w:t>
      </w:r>
    </w:p>
    <w:p>
      <w:r>
        <w:t>Consensus forward EPS of $4.44 appears too low, underestimating the Smart Kitchen productivity benefits and unit growth acceleration that should drive stronger-than-expected franchise revenue growth.</w:t>
      </w:r>
    </w:p>
    <w:p>
      <w:r>
        <w:t>The debate: Whether Wingstop can return to positive same-store sales growth in 2026 after its first decline in 22 years (-3% in 2025), and if the Smart Kitchen technology rollout can drive the company toward its $3M AUV target.</w:t>
      </w:r>
    </w:p>
    <w:p>
      <w:pPr>
        <w:pStyle w:val="PullQuote"/>
      </w:pPr>
      <w:r>
        <w:t>Counter: the analyst claims Smart Kitchen technology rollout will drive productivity benefits and stronger franchise revenue growth — but No evidence provided on Smart Kitchen implementation timeline, franchisee adoption rates, or quantified productivity benefits. The deck shows current 2025 AUV at $2.1M with $3M target but no timeline - this could be aspirational rather than achievable, especially with macro headwinds showing unemployment rising and consumer sentiment declining</w:t>
      </w:r>
    </w:p>
    <w:p>
      <w:pPr>
        <w:pStyle w:val="PullQuote"/>
      </w:pPr>
      <w:r>
        <w:t>Counter: the analyst claims Position direction is SHORT despite bullish fundamental thesis — but This is internally inconsistent - if Smart Kitchen drives better results and consensus EPS is too low, the logical position is LONG. Either the fundamental thesis is wrong (making SHORT correct) or the position direction is wrong (should be LONG). The analyst cannot credibly hold both views simultaneously</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same_store_sales_growth</w:t>
            </w:r>
          </w:p>
        </w:tc>
        <w:tc>
          <w:tcPr>
            <w:tcW w:type="dxa" w:w="1958"/>
            <w:tcBorders>
              <w:top w:val="single" w:sz="4" w:color="BDC3C7"/>
              <w:bottom w:val="single" w:sz="4" w:color="BDC3C7"/>
              <w:left w:val="single" w:sz="4" w:color="BDC3C7"/>
              <w:right w:val="single" w:sz="4" w:color="BDC3C7"/>
            </w:tcBorders>
          </w:tcPr>
          <w:p>
            <w:r>
              <w:rPr>
                <w:b/>
              </w:rPr>
              <w:t>+0.85%</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traffic_recovery</w:t>
            </w:r>
          </w:p>
        </w:tc>
        <w:tc>
          <w:tcPr>
            <w:tcW w:type="dxa" w:w="1958"/>
            <w:tcBorders>
              <w:top w:val="single" w:sz="4" w:color="BDC3C7"/>
              <w:bottom w:val="single" w:sz="4" w:color="BDC3C7"/>
              <w:left w:val="single" w:sz="4" w:color="BDC3C7"/>
              <w:right w:val="single" w:sz="4" w:color="BDC3C7"/>
            </w:tcBorders>
          </w:tcPr>
          <w:p>
            <w:r>
              <w:t>+0.32%</w:t>
            </w:r>
          </w:p>
        </w:tc>
        <w:tc>
          <w:tcPr>
            <w:tcW w:type="dxa" w:w="1958"/>
            <w:tcBorders>
              <w:top w:val="single" w:sz="4" w:color="BDC3C7"/>
              <w:bottom w:val="single" w:sz="4" w:color="BDC3C7"/>
              <w:left w:val="single" w:sz="4" w:color="BDC3C7"/>
              <w:right w:val="single" w:sz="4" w:color="BDC3C7"/>
            </w:tcBorders>
          </w:tcPr>
          <w:p>
            <w:r>
              <w:t>0.60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 the Q4 2025 earnings call, management guided 'flat to low single-digit percent growth' for 2026 domestic same-store sales after -3% in 2025. The Smart Kitchen rollout is now complete across the system, and management  [auto-downgraded: basis contains numbers not found in corpus: -3%, +1.6%, -3%]</w:t>
            </w:r>
          </w:p>
        </w:tc>
      </w:tr>
      <w:tr>
        <w:tc>
          <w:tcPr>
            <w:tcW w:type="dxa" w:w="1958"/>
            <w:tcBorders>
              <w:top w:val="single" w:sz="4" w:color="BDC3C7"/>
              <w:bottom w:val="single" w:sz="4" w:color="BDC3C7"/>
              <w:left w:val="single" w:sz="4" w:color="BDC3C7"/>
              <w:right w:val="single" w:sz="4" w:color="BDC3C7"/>
            </w:tcBorders>
          </w:tcPr>
          <w:p>
            <w:r>
              <w:t xml:space="preserve">    ticket_growth</w:t>
            </w:r>
          </w:p>
        </w:tc>
        <w:tc>
          <w:tcPr>
            <w:tcW w:type="dxa" w:w="1958"/>
            <w:tcBorders>
              <w:top w:val="single" w:sz="4" w:color="BDC3C7"/>
              <w:bottom w:val="single" w:sz="4" w:color="BDC3C7"/>
              <w:left w:val="single" w:sz="4" w:color="BDC3C7"/>
              <w:right w:val="single" w:sz="4" w:color="BDC3C7"/>
            </w:tcBorders>
          </w:tcPr>
          <w:p>
            <w:r>
              <w:t>+0.53%</w:t>
            </w:r>
          </w:p>
        </w:tc>
        <w:tc>
          <w:tcPr>
            <w:tcW w:type="dxa" w:w="1958"/>
            <w:tcBorders>
              <w:top w:val="single" w:sz="4" w:color="BDC3C7"/>
              <w:bottom w:val="single" w:sz="4" w:color="BDC3C7"/>
              <w:left w:val="single" w:sz="4" w:color="BDC3C7"/>
              <w:right w:val="single" w:sz="4" w:color="BDC3C7"/>
            </w:tcBorders>
          </w:tcPr>
          <w:p>
            <w:r>
              <w:t>0.50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Food away from home CPI is running at +3.8% YoY as of March 2026, providing pricing cover for the industry. However, Wingstop's focus is on traffic recovery rather than pricing given the consumer pressure they experience</w:t>
            </w:r>
          </w:p>
        </w:tc>
      </w:tr>
      <w:tr>
        <w:tc>
          <w:tcPr>
            <w:tcW w:type="dxa" w:w="1958"/>
            <w:tcBorders>
              <w:top w:val="single" w:sz="4" w:color="BDC3C7"/>
              <w:bottom w:val="single" w:sz="4" w:color="BDC3C7"/>
              <w:left w:val="single" w:sz="4" w:color="BDC3C7"/>
              <w:right w:val="single" w:sz="4" w:color="BDC3C7"/>
            </w:tcBorders>
          </w:tcPr>
          <w:p>
            <w:r>
              <w:rPr>
                <w:b/>
              </w:rPr>
              <w:t>unit_development</w:t>
            </w:r>
          </w:p>
        </w:tc>
        <w:tc>
          <w:tcPr>
            <w:tcW w:type="dxa" w:w="1958"/>
            <w:tcBorders>
              <w:top w:val="single" w:sz="4" w:color="BDC3C7"/>
              <w:bottom w:val="single" w:sz="4" w:color="BDC3C7"/>
              <w:left w:val="single" w:sz="4" w:color="BDC3C7"/>
              <w:right w:val="single" w:sz="4" w:color="BDC3C7"/>
            </w:tcBorders>
          </w:tcPr>
          <w:p>
            <w:r>
              <w:rPr>
                <w:b/>
              </w:rPr>
              <w:t>350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total_net_openings</w:t>
            </w:r>
          </w:p>
        </w:tc>
        <w:tc>
          <w:tcPr>
            <w:tcW w:type="dxa" w:w="1958"/>
            <w:tcBorders>
              <w:top w:val="single" w:sz="4" w:color="BDC3C7"/>
              <w:bottom w:val="single" w:sz="4" w:color="BDC3C7"/>
              <w:left w:val="single" w:sz="4" w:color="BDC3C7"/>
              <w:right w:val="single" w:sz="4" w:color="BDC3C7"/>
            </w:tcBorders>
          </w:tcPr>
          <w:p>
            <w:r>
              <w:t>350</w:t>
            </w:r>
          </w:p>
        </w:tc>
        <w:tc>
          <w:tcPr>
            <w:tcW w:type="dxa" w:w="1958"/>
            <w:tcBorders>
              <w:top w:val="single" w:sz="4" w:color="BDC3C7"/>
              <w:bottom w:val="single" w:sz="4" w:color="BDC3C7"/>
              <w:left w:val="single" w:sz="4" w:color="BDC3C7"/>
              <w:right w:val="single" w:sz="4" w:color="BDC3C7"/>
            </w:tcBorders>
          </w:tcPr>
          <w:p>
            <w:r>
              <w:t>0.75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provided specific guidance for 15-16% global unit growth in 2026, which translates to approximately 385-410 net new restaurants from the current base of ~2,563 units. In the Q4 2025 call, the CFO stated 'we an  [auto-downgraded: citation text not found in corpus: 'Q4 2025 call: 'we anticipate global unit growth to be between 15% and 16%, well ...']</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same_store_sales_growth.traffic_recovery: 0.53 → -1.0 — If consumer pressure persists and Smart Kitchen benefits prove more limited than expected, SSS could remain negative. Consumer sentiment at 53.3 is down -6.5% YoY, and unemployment has risen to 4.3%.</w:t>
      </w:r>
    </w:p>
    <w:p>
      <w:pPr>
        <w:pStyle w:val="ListBullet"/>
      </w:pPr>
      <w:r>
        <w:t>unit_development.total_net_openings: 400 → 350 — Development could slow if franchisee returns deteriorate with continued SSS pressure, despite management's confident guidance on pipeline strength.</w:t>
      </w:r>
    </w:p>
    <w:p>
      <w:pPr>
        <w:pStyle w:val="PullQuote"/>
      </w:pPr>
      <w:r>
        <w:t>Counter: the analyst claims Traffic recovery and ticket growth assumptions of 0.53 each for SSS growth — but BLS data shows food-away-from-home inflation at +3.8% vs food-at-home at +1.9%, creating a 190bp headwind for restaurant traffic as consumers substitute to grocery. Combined with rising unemployment (+2.4% YoY) and declining consumer sentiment (-6.5% YoY), traffic assumptions appear overly optimistic for a premium-positioned wing concept</w:t>
      </w:r>
    </w:p>
    <w:p>
      <w:pPr>
        <w:pStyle w:val="SectionHeading"/>
      </w:pPr>
      <w:r>
        <w:t>3. Consensus Gap &amp; Valuation</w:t>
      </w:r>
    </w:p>
    <w:p>
      <w:r>
        <w:t>Our estimate: EPS $1.98 vs. consensus $4.44 ($2.46 / 55.4% below).</w:t>
      </w:r>
    </w:p>
    <w:p>
      <w:r>
        <w:t>Our estimate is $2.46 (55.4%) below consensus $4.44. No single driver within plausible bounds can close the gap to consensus when other drivers are held at our values; the EPS variant is diffuse (top magnitude: same_store_sales_growth.traffic_recovery). Variant appears NOT fully priced in based on available market data. Next catalyst: Next quarterly earnings report (~60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same_store_sales_growth.traffic_recovery</w:t>
            </w:r>
          </w:p>
        </w:tc>
        <w:tc>
          <w:tcPr>
            <w:tcW w:type="dxa" w:w="1958"/>
            <w:tcBorders>
              <w:top w:val="single" w:sz="4" w:color="BDC3C7"/>
              <w:bottom w:val="single" w:sz="4" w:color="BDC3C7"/>
              <w:left w:val="single" w:sz="4" w:color="BDC3C7"/>
              <w:right w:val="single" w:sz="4" w:color="BDC3C7"/>
            </w:tcBorders>
          </w:tcPr>
          <w:p>
            <w:r>
              <w:t>+0.32</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same_store_sales_growth.ticket_growth</w:t>
            </w:r>
          </w:p>
        </w:tc>
        <w:tc>
          <w:tcPr>
            <w:tcW w:type="dxa" w:w="1958"/>
            <w:tcBorders>
              <w:top w:val="single" w:sz="4" w:color="BDC3C7"/>
              <w:bottom w:val="single" w:sz="4" w:color="BDC3C7"/>
              <w:left w:val="single" w:sz="4" w:color="BDC3C7"/>
              <w:right w:val="single" w:sz="4" w:color="BDC3C7"/>
            </w:tcBorders>
          </w:tcPr>
          <w:p>
            <w:r>
              <w:t>+0.53</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unit_development.total_net_openings</w:t>
            </w:r>
          </w:p>
        </w:tc>
        <w:tc>
          <w:tcPr>
            <w:tcW w:type="dxa" w:w="1958"/>
            <w:tcBorders>
              <w:top w:val="single" w:sz="4" w:color="BDC3C7"/>
              <w:bottom w:val="single" w:sz="4" w:color="BDC3C7"/>
              <w:left w:val="single" w:sz="4" w:color="BDC3C7"/>
              <w:right w:val="single" w:sz="4" w:color="BDC3C7"/>
            </w:tcBorders>
          </w:tcPr>
          <w:p>
            <w:r>
              <w:t>+350.00</w:t>
            </w:r>
          </w:p>
        </w:tc>
        <w:tc>
          <w:tcPr>
            <w:tcW w:type="dxa" w:w="1958"/>
            <w:tcBorders>
              <w:top w:val="single" w:sz="4" w:color="BDC3C7"/>
              <w:bottom w:val="single" w:sz="4" w:color="BDC3C7"/>
              <w:left w:val="single" w:sz="4" w:color="BDC3C7"/>
              <w:right w:val="single" w:sz="4" w:color="BDC3C7"/>
            </w:tcBorders>
          </w:tcPr>
          <w:p>
            <w:r>
              <w:t>+350.00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0.70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(-55.4%) exceeds implied move (6.6%). Short interest 13.6% neutral</w:t>
      </w:r>
    </w:p>
    <w:p>
      <w:r>
        <w:t>Edge verdict: ACTIONABLE_EDGE (score 0.280).</w:t>
      </w:r>
    </w:p>
    <w:p>
      <w:pPr>
        <w:pStyle w:val="PullQuote"/>
      </w:pPr>
      <w:r>
        <w:t>Counter: the analyst claims Consensus forward EPS of $4.44 appears too low — but With SG&amp;A guidance increasing to ~$140M (vs $116.8M actual), stock compensation at $26M, and interest expense at $46M net, the cost structure is expanding faster than the analyst acknowledges. If SSS growth is actually positive per guidance rather than negative per analyst assumption, this makes the consensus estimate more reasonable, not conservative</w:t>
      </w:r>
    </w:p>
    <w:p>
      <w:pPr>
        <w:pStyle w:val="SectionHeading"/>
      </w:pPr>
      <w:r>
        <w:t>4. Catalysts</w:t>
      </w:r>
    </w:p>
    <w:p>
      <w:pPr>
        <w:pStyle w:val="ListBullet"/>
      </w:pPr>
      <w:r>
        <w:t>Next quarterly earnings report (~60 days) — resolves revenue + margins + guidance; confirms or challenges</w:t>
      </w:r>
    </w:p>
    <w:p>
      <w:pPr>
        <w:pStyle w:val="ListBullet"/>
      </w:pPr>
      <w:r>
        <w:t>Resolution: Smart Kitchen will drive meaningful SSS recovery in 2026 (Resolves over 2-4 quarters) — resolves same_store_sales_growth; confirms or challenges</w:t>
      </w:r>
    </w:p>
    <w:p>
      <w:pPr>
        <w:pStyle w:val="ListBullet"/>
      </w:pPr>
      <w:r>
        <w:t>Resolution: Unit economics remain best-in-class supporting aggressive expansion (Multi-year thesis -- patience required) — resolves unit_development; confirms or challenges</w:t>
      </w:r>
    </w:p>
    <w:p>
      <w:pPr>
        <w:pStyle w:val="ListBullet"/>
      </w:pPr>
      <w:r>
        <w:t>Resolution: Analyst blind spot (Multi-year thesis -- patience required) — resolves general; confirms or challenges</w:t>
      </w:r>
    </w:p>
    <w:p>
      <w:pPr>
        <w:pStyle w:val="ListBullet"/>
      </w:pPr>
      <w:r>
        <w:t>Specific Smart Kitchen ROI metrics and timeline for AUV improvement (Unknown timing) — resolves multiple; resolves uncertainty</w:t>
      </w:r>
    </w:p>
    <w:p>
      <w:pPr>
        <w:pStyle w:val="ListBullet"/>
      </w:pPr>
      <w:r>
        <w:t>Franchisee-level profitability data during the SSS decline period (Unknown timing) — resolves multiple; resolves uncertainty</w:t>
      </w:r>
    </w:p>
    <w:p>
      <w:pPr>
        <w:pStyle w:val="SectionHeading"/>
      </w:pPr>
      <w:r>
        <w:t>5. Risks, Blind Spots &amp; Kill Criteria</w:t>
      </w:r>
    </w:p>
    <w:p>
      <w:pPr>
        <w:pStyle w:val="SubHeading"/>
      </w:pPr>
      <w:r>
        <w:t>Top risks:</w:t>
      </w:r>
    </w:p>
    <w:p>
      <w:pPr>
        <w:pStyle w:val="ListBullet"/>
      </w:pPr>
      <w:r>
        <w:t>Analyst is SHORT the stock despite claiming 'consensus EPS appears too low' and expecting 'stronger-than-expected franchise revenue growth' — counter: The thesis direction and edge hypothesis are fundamentally contradictory - if EPS is underestimated and Smart Kitchen will drive better results, this should be a LONG position, not SHORT [serious]</w:t>
      </w:r>
    </w:p>
    <w:p>
      <w:pPr>
        <w:pStyle w:val="ListBullet"/>
      </w:pPr>
      <w:r>
        <w:t>Analyst assumes 2025 SSS decline of -3% represents first decline in 22 years — counter: Filing shows FY2024 domestic same-store sales increased 19.9% and FY2025 guidance calls for 'low-to-mid single digit domestic same-store sales growth' - not decline. The -3% figure appears to be analyst assumption not supported by company guidance [serious]</w:t>
      </w:r>
    </w:p>
    <w:p>
      <w:pPr>
        <w:pStyle w:val="ListBullet"/>
      </w:pPr>
      <w:r>
        <w:t>Smart Kitchen will drive meaningful SSS recovery in 2026 — counter: The Q4 2025 call revealed that even with Smart Kitchen fully implemented, company-owned restaurants only achieved +1.6% SSS versus -3% system-wide, suggesting the technology benefit may be more modest than bulls expect. Management also noted 'we expected the consumer environment to remain choppy with continued pressure on our core consumer.' [moderate]</w:t>
      </w:r>
    </w:p>
    <w:p>
      <w:pPr>
        <w:pStyle w:val="SubHeading"/>
      </w:pPr>
      <w:r>
        <w:t>Blind spots (auditor-independent):</w:t>
      </w:r>
    </w:p>
    <w:p>
      <w:pPr>
        <w:pStyle w:val="ListBullet"/>
      </w:pPr>
      <w:r>
        <w:t>Massive disconnect between bullish fundamental thesis and bearish position direction</w:t>
      </w:r>
    </w:p>
    <w:p>
      <w:pPr>
        <w:pStyle w:val="ListBullet"/>
      </w:pPr>
      <w:r>
        <w:t>Failed to verify basic SSS trend assumption against actual company guidance</w:t>
      </w:r>
    </w:p>
    <w:p>
      <w:pPr>
        <w:pStyle w:val="ListBullet"/>
      </w:pPr>
      <w:r>
        <w:t>No consideration of 94% franchise model's defensive characteristics during economic slowdown (higher unemployment +2.4% YoY, declining consumer sentiment -6.5% YoY)</w:t>
      </w:r>
    </w:p>
    <w:p>
      <w:pPr>
        <w:pStyle w:val="KillCriteria"/>
      </w:pPr>
      <w:r>
        <w:t>What would change our mind: Unable to close gap: Specific Smart Kitchen ROI metrics and timeline for AUV improvement</w:t>
      </w:r>
    </w:p>
    <w:p>
      <w:pPr>
        <w:pStyle w:val="SectionHeading"/>
      </w:pPr>
      <w:r>
        <w:t>Appendix</w:t>
      </w:r>
    </w:p>
    <w:p>
      <w:pPr>
        <w:pStyle w:val="SubHeading"/>
      </w:pPr>
      <w:r>
        <w:t>Evidence gaps (research TODO):</w:t>
      </w:r>
    </w:p>
    <w:p>
      <w:pPr>
        <w:pStyle w:val="ListBullet"/>
      </w:pPr>
      <w:r>
        <w:t>Specific Smart Kitchen ROI metrics and timeline for AUV improvement</w:t>
      </w:r>
    </w:p>
    <w:p>
      <w:pPr>
        <w:pStyle w:val="ListBullet"/>
      </w:pPr>
      <w:r>
        <w:t>Franchisee-level profitability data during the SSS decline period</w:t>
      </w:r>
    </w:p>
    <w:p>
      <w:pPr>
        <w:pStyle w:val="ListBullet"/>
      </w:pPr>
      <w:r>
        <w:t>Competitive response to Wingstop's expansion in key markets</w:t>
      </w:r>
    </w:p>
    <w:p>
      <w:pPr>
        <w:pStyle w:val="ListBullet"/>
      </w:pPr>
      <w:r>
        <w:t>International unit economics versus domestic performance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