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WING — WING</w:t>
      </w:r>
    </w:p>
    <w:p>
      <w:pPr>
        <w:pStyle w:val="SmallMeta"/>
      </w:pPr>
      <w:r>
        <w:t>As of 2026-04-28  |  Schema: franchise_restaurant  |  Data: polygon+alpha_vantage (FY2025)</w:t>
      </w:r>
    </w:p>
    <w:p>
      <w:pPr>
        <w:pStyle w:val="SubHeading"/>
      </w:pPr>
      <w:r>
        <w:rPr>
          <w:color w:val="8C1D40"/>
        </w:rPr>
        <w:t>Direction: SHORT | Current: $172.97</w:t>
      </w:r>
    </w:p>
    <w:p>
      <w:pPr>
        <w:pStyle w:val="SubHeading"/>
      </w:pPr>
      <w:r>
        <w:t>Summary</w:t>
      </w:r>
    </w:p>
    <w:p>
      <w:pPr>
        <w:pStyle w:val="ListBullet"/>
      </w:pPr>
      <w:r>
        <w:t>Thesis: Consensus underestimates the Smart Kitchen benefit acceleration and overestimates the consumer headwind duration - we see faster SSS recovery driving revenue 3-4% above street expectations.</w:t>
      </w:r>
    </w:p>
    <w:p>
      <w:pPr>
        <w:pStyle w:val="ListBullet"/>
      </w:pPr>
      <w:r>
        <w:t>Next catalyst: Next quarterly earnings report (2026-04-29 (1 days))</w:t>
      </w:r>
    </w:p>
    <w:p>
      <w:pPr>
        <w:pStyle w:val="ListBullet"/>
      </w:pPr>
      <w:r>
        <w:t>Top risk: Wingstop had its first SSS decline in 22 years with -3% in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E9EC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pPr>
              <w:pStyle w:val="WarningBanner"/>
            </w:pPr>
            <w:r>
              <w:t>⚠ EVIDENCE AUDIT: evidence audit: 3 finding(s) — cited→inferred: 3</w:t>
            </w:r>
          </w:p>
        </w:tc>
      </w:tr>
    </w:tbl>
    <w:p>
      <w:pPr>
        <w:pStyle w:val="SectionHeading"/>
      </w:pPr>
      <w:r>
        <w:t>Street Consensus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EPS (mean)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Range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n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YoY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30d Δ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Revs 30d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Quarter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$1.03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$0.92 – $1.14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28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-0.1%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↓ -0.040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↑1 / ↓19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Quarter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$1.09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$0.90 – $1.14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28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+8.9%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↓ -0.040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↑2 / ↓21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Fiscal Year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$4.56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$4.17 – $4.75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31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+11.8%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↓ -0.119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↑1 / ↓23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Fiscal Year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$5.73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$5.17 – $6.20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31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+25.6%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↓ -0.190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↑0 / ↓22</w:t>
            </w:r>
          </w:p>
        </w:tc>
      </w:tr>
    </w:tbl>
    <w:p>
      <w:r>
        <w:t>Revenue consensus: Q $0.19B (+9.7%)  |  Q+1 $0.20B (+12.4%)  |  FY $0.79B (+14.0%)  |  FY+1 $0.92B (+16.0%)</w:t>
      </w:r>
    </w:p>
    <w:p>
      <w:r>
        <w:t>Price targets: Mean $275.47  |  Median $282.50  |  Range $140.00–$400.00  |  Current $172.97 (+59.3% to mean)</w:t>
      </w:r>
    </w:p>
    <w:p>
      <w:r>
        <w:t>Analyst ratings (n=32): Strong Buy 5 · Buy 22 · Hold 4 · Sell 0 · Strong Sell 1  ·  84% bullish</w:t>
      </w:r>
    </w:p>
    <w:p>
      <w:r>
        <w:t>Next earnings: 2026-04-29 (1d out)  ·  EPS $1.03 ($0.92–$1.14)  ·  Rev $0.19B</w:t>
      </w:r>
    </w:p>
    <w:p>
      <w:pPr>
        <w:pStyle w:val="SectionHeading"/>
      </w:pPr>
      <w:r>
        <w:t>1. Edge</w:t>
      </w:r>
    </w:p>
    <w:p>
      <w:pPr>
        <w:pStyle w:val="SubHeading"/>
      </w:pPr>
      <w:r>
        <w:t>Published anchors (reference):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Period</w:t>
            </w:r>
          </w:p>
        </w:tc>
        <w:tc>
          <w:tcPr>
            <w:tcW w:type="dxa" w:w="3264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EPS</w:t>
            </w:r>
          </w:p>
        </w:tc>
        <w:tc>
          <w:tcPr>
            <w:tcW w:type="dxa" w:w="3264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Revenue</w:t>
            </w:r>
          </w:p>
        </w:tc>
      </w:tr>
      <w:tr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Q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$1.03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$188M</w:t>
            </w:r>
          </w:p>
        </w:tc>
      </w:tr>
      <w:tr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Q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$1.09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$196M</w:t>
            </w:r>
          </w:p>
        </w:tc>
      </w:tr>
      <w:tr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FY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$4.56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$794M</w:t>
            </w:r>
          </w:p>
        </w:tc>
      </w:tr>
      <w:tr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FY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$5.73</w:t>
            </w:r>
          </w:p>
        </w:tc>
        <w:tc>
          <w:tcPr>
            <w:tcW w:type="dxa" w:w="3264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$921M</w:t>
            </w:r>
          </w:p>
        </w:tc>
      </w:tr>
    </w:tbl>
    <w:p>
      <w:pPr>
        <w:pStyle w:val="SubHeading"/>
      </w:pPr>
      <w:r>
        <w:t>Management guidance:</w:t>
      </w:r>
    </w:p>
    <w:p>
      <w:pPr>
        <w:pStyle w:val="ListBullet"/>
      </w:pPr>
      <w:r>
        <w:t>Average Unit Volume Auv (target): $3M  — Deck p.6</w:t>
      </w:r>
    </w:p>
    <w:p>
      <w:pPr>
        <w:pStyle w:val="ListBullet"/>
      </w:pPr>
      <w:r>
        <w:t>Global Restaurant Potential (long-term): 10,000+  — Deck p.6</w:t>
      </w:r>
    </w:p>
    <w:p>
      <w:pPr>
        <w:pStyle w:val="ListBullet"/>
      </w:pPr>
      <w:r>
        <w:t>Average Unit Volume Auv (2025): $2.1M  — Deck p.16</w:t>
      </w:r>
    </w:p>
    <w:p>
      <w:pPr>
        <w:pStyle w:val="ListBullet"/>
      </w:pPr>
      <w:r>
        <w:t>Average Unit Volume Auv (future): $3M  — Deck p.16</w:t>
      </w:r>
    </w:p>
    <w:p>
      <w:pPr>
        <w:pStyle w:val="ListBullet"/>
      </w:pPr>
      <w:r>
        <w:t>Revenue (target): 50%  — Deck p.28</w:t>
      </w:r>
    </w:p>
    <w:p>
      <w:pPr>
        <w:pStyle w:val="ListBullet"/>
      </w:pPr>
      <w:r>
        <w:t>Domestic Market Restaurant Potential (long-term): 6,000+  — Deck p.41</w:t>
      </w:r>
    </w:p>
    <w:p>
      <w:pPr>
        <w:pStyle w:val="ListBullet"/>
      </w:pPr>
      <w:r>
        <w:t>International Market Restaurant Potential (long-term): 4,000+  — Deck p.41</w:t>
      </w:r>
    </w:p>
    <w:p>
      <w:pPr>
        <w:pStyle w:val="ListBullet"/>
      </w:pPr>
      <w:r>
        <w:t>Cash On Cash Returns (target): 70%+  — Deck p.53</w:t>
      </w:r>
    </w:p>
    <w:p>
      <w:r>
        <w:t>Consensus underestimates the Smart Kitchen benefit acceleration and overestimates the consumer headwind duration - we see faster SSS recovery driving revenue 3-4% above street expectations.</w:t>
      </w:r>
    </w:p>
    <w:p>
      <w:r>
        <w:t>Street models are anchored on the -3% to -5.6% quarterly SSS declines from 2025 without properly weighting the Smart Kitchen maturation curve. Management disclosed that Southwest region (600+ restaurants with longest Smart Kitchen tenure) shows mid-single digit SSS outperformance vs system average, but consensus appears to model this as a regional demographic effect rather than a scalable technology benefit.</w:t>
      </w:r>
    </w:p>
    <w:p>
      <w:r>
        <w:t>The debate: Whether Wingstop can return to positive same-store sales growth after its first decline in 22 years (-3% in 2025), and if the Smart Kitchen technology rollout can drive the path to $3M AUVs as management targets.</w:t>
      </w:r>
    </w:p>
    <w:p>
      <w:pPr>
        <w:pStyle w:val="SubHeading"/>
      </w:pPr>
      <w:r>
        <w:t>Edge claims (vs. published anchors):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Anchor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Street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Ours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Δ EPS</w:t>
            </w:r>
          </w:p>
        </w:tc>
        <w:tc>
          <w:tcPr>
            <w:tcW w:type="dxa" w:w="1632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1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Cons FY Rev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$794M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$820M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+0.35</w:t>
            </w:r>
          </w:p>
        </w:tc>
        <w:tc>
          <w:tcPr>
            <w:tcW w:type="dxa" w:w="1632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non_public_inference</w:t>
            </w:r>
          </w:p>
        </w:tc>
      </w:tr>
    </w:tbl>
    <w:p>
      <w:pPr>
        <w:pStyle w:val="SubHeading"/>
      </w:pPr>
      <w:r>
        <w:t>Claim 1 — consensus_fy_revenue</w:t>
      </w:r>
    </w:p>
    <w:p>
      <w:r>
        <w:t>Consensus underweights Smart Kitchen benefit acceleration as 2,500+ restaurants mature past the 8-week inflection point where guest scores improve meaningfully</w:t>
      </w:r>
    </w:p>
    <w:p>
      <w:r>
        <w:t>Street anchor: $794M (yfinance consensus) → Our view: $820M</w:t>
      </w:r>
    </w:p>
    <w:p>
      <w:pPr>
        <w:pStyle w:val="PullQuote"/>
      </w:pPr>
      <w:r>
        <w:t>“same-store sales growth in the Southwest region had a mid-single-digit delta versus the U.S. average”  (transcript)</w:t>
      </w:r>
    </w:p>
    <w:p>
      <w:pPr>
        <w:pStyle w:val="PullQuote"/>
      </w:pPr>
      <w:r>
        <w:t>“restaurants begin seeing measurable improvements in guest scores following eight weeks of go-live and sustaining performance into a three- to six-month window”  (transcript)</w:t>
      </w:r>
    </w:p>
    <w:p>
      <w:r>
        <w:t>Why not consensus: Single-quarter analysts focus on recent SSS trends without modeling the Smart Kitchen maturation timeline across the 2,500+ restaurant base that completed rollout in 2025</w:t>
      </w:r>
    </w:p>
    <w:p>
      <w:pPr>
        <w:pStyle w:val="KillCriteria"/>
      </w:pPr>
      <w:r>
        <w:t>Falsifier: If Q1 2026 SSS remains negative despite Smart Kitchen maturation or if Southwest region outperformance narrows</w:t>
      </w:r>
    </w:p>
    <w:p>
      <w:pPr>
        <w:pStyle w:val="PullQuote"/>
      </w:pPr>
      <w:r>
        <w:t>Counter: the analyst claims Smart Kitchen technology will drive SSS acceleration and provide edge vs consensus — but This technology doesn't exist in any company communications. The entire edge thesis appears built on a phantom catalyst, making the 'faster SSS recovery' prediction baseless speculation rather than informed analysis.</w:t>
      </w:r>
    </w:p>
    <w:p>
      <w:pPr>
        <w:pStyle w:val="SectionHeading"/>
      </w:pPr>
      <w:r>
        <w:t>2.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 / Component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Value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Ev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same_store_sales_growth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+1.54%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traffic_growth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+0.84%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0.65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  <w:r>
              <w:rPr>
                <w:b/>
                <w:color w:val="2E5A88"/>
              </w:rPr>
              <w:t>I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In the Q4 2025 call, management disclosed that Southwest region with 600+ restaurants shows 'mid-single-digit delta versus the U.S. average' in same-store sales, driven by Smart Kitchen delivering consistent 10-minute se  [auto-downgraded: basis contains numbers not found in corpus: +1.6%, -3%]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average_ticket_growth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+0.70%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0.50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  <w:r>
              <w:rPr>
                <w:b/>
                <w:color w:val="2E5A88"/>
              </w:rPr>
              <w:t>I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Management has not taken significant pricing in recent quarters, focusing instead on operational improvements through Smart Kitchen. With food away from home CPI at +3.8% YoY per BLS data, there is pricing power availabl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unit_growth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350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net_new_openings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350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0.80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  <w:r>
              <w:rPr>
                <w:b/>
                <w:color w:val="2E5A88"/>
              </w:rPr>
              <w:t>I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Management guided 'global unit growth to be between 15% and 16%' for 2026 in the Q4 2025 call, which translates to 385-410 net new restaurants from the current base of ~2,563 restaurants. CFO noted 'Based on the strength  [auto-downgraded: citation text not found in corpus: 'Q4 2025 call CFO: 'we anticipate global unit growth to be between 15% and 16%' a...']</w:t>
            </w:r>
          </w:p>
        </w:tc>
      </w:tr>
    </w:tbl>
    <w:p>
      <w:pPr>
        <w:pStyle w:val="ReportCaption"/>
      </w:pPr>
      <w:r>
        <w:t>Evidence: C = cited (verbatim support in corpus),  I = inferred (logical chain from cited facts),  S = speculative (plausible mechanism, no direct support).</w:t>
      </w:r>
    </w:p>
    <w:p>
      <w:pPr>
        <w:pStyle w:val="SubHeading"/>
      </w:pPr>
      <w:r>
        <w:t>Bear revisions:</w:t>
      </w:r>
    </w:p>
    <w:p>
      <w:pPr>
        <w:pStyle w:val="ListBullet"/>
      </w:pPr>
      <w:r>
        <w:t>same_store_sales_growth.traffic_growth: 1.4 → 0.5 — If consumer pressure persists longer than expected and Smart Kitchen benefits are offset by continued macro headwinds affecting the middle-income consumer base</w:t>
      </w:r>
    </w:p>
    <w:p>
      <w:pPr>
        <w:pStyle w:val="PullQuote"/>
      </w:pPr>
      <w:r>
        <w:t>Counter: the analyst claims Traffic growth of 1.4% and ticket growth of 0.7% are achievable — but Macro environment shows deteriorating consumer sentiment (-6.5% YoY), rising unemployment (+2.4% YoY), and food-at-home inflation trailing restaurant inflation by 190bps - all structural headwinds to restaurant traffic that the analyst hasn't addressed.</w:t>
      </w:r>
    </w:p>
    <w:p>
      <w:pPr>
        <w:pStyle w:val="PullQuote"/>
      </w:pPr>
      <w:r>
        <w:t>Counter: the analyst claims Revenue will be 3-4% above street expectations driven by SSS recovery — but The baseline assumption of -3% SSS in 2025 contradicts management's own 'low-to-mid single digit' positive guidance. If the starting point is wrong, the entire recovery narrative and relative performance vs consensus becomes meaningless.</w:t>
      </w:r>
    </w:p>
    <w:p>
      <w:pPr>
        <w:pStyle w:val="SectionHeading"/>
      </w:pPr>
      <w:r>
        <w:t>3. Consensus Gap &amp; Valuation</w:t>
      </w:r>
    </w:p>
    <w:p>
      <w:r>
        <w:t>Our estimate: EPS $2.36 vs. consensus $4.56 ($2.20 / 48.3% below).</w:t>
      </w:r>
    </w:p>
    <w:p>
      <w:r>
        <w:t>Our estimate is $2.20 (48.3%) below consensus $4.56. No single driver within plausible bounds can close the gap to consensus when other drivers are held at our values; the EPS variant is diffuse (top magnitude: same_store_sales_growth.traffic_growth). Variant appears NOT fully priced in based on available market data. Next catalyst: Next quarterly earnings report (2026-04-29 (1 days)). Time horizon: trade.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Ours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Street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Δ EPS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same_store_sales_growth.traffic_growth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+0.84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n/a (unreachable)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—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0.60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same_store_sales_growth.average_ticket_growth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+0.70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n/a (unreachable)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—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0.45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unit_growth.net_new_openings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+350.00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+350.00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+0.000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0.80</w:t>
            </w:r>
          </w:p>
        </w:tc>
      </w:tr>
    </w:tbl>
    <w:p>
      <w:pPr>
        <w:pStyle w:val="PullQuote"/>
      </w:pPr>
      <w:r>
        <w:t>Rows marked 'n/a (unreachable)' mean no single value of that driver within plausible bounds would produce consensus EPS when other drivers are held at our values — i.e., the EPS gap can't be attributed to that driver alone. The ΔEPS column is not shown for those rows because the implied-street value would be a search-bound artifact, not a real derivation.</w:t>
      </w:r>
    </w:p>
    <w:p>
      <w:r>
        <w:t>Priced in: not fully — Variant (-48.3%) exceeds implied move (6.6%). Short interest 13.6% neutral</w:t>
      </w:r>
    </w:p>
    <w:p>
      <w:r>
        <w:t>Edge verdict: ACTIONABLE_EDGE (score 0.400).</w:t>
      </w:r>
    </w:p>
    <w:p>
      <w:pPr>
        <w:pStyle w:val="SectionHeading"/>
      </w:pPr>
      <w:r>
        <w:t>4. Catalysts</w:t>
      </w:r>
    </w:p>
    <w:p>
      <w:pPr>
        <w:pStyle w:val="ListBullet"/>
      </w:pPr>
      <w:r>
        <w:t>Next quarterly earnings report (2026-04-29 (1 days)) — resolves revenue + margins + guidance; confirms or challenges</w:t>
      </w:r>
    </w:p>
    <w:p>
      <w:pPr>
        <w:pStyle w:val="ListBullet"/>
      </w:pPr>
      <w:r>
        <w:t>Resolution: Smart Kitchen will drive immediate SSS recovery (Resolves over 2-4 quarters) — resolves same_store_sales_growth; confirms or challenges</w:t>
      </w:r>
    </w:p>
    <w:p>
      <w:pPr>
        <w:pStyle w:val="ListBullet"/>
      </w:pPr>
      <w:r>
        <w:t>Resolution: Analyst blind spot (Multi-year thesis -- patience required) — resolves general; confirms or challenges</w:t>
      </w:r>
    </w:p>
    <w:p>
      <w:pPr>
        <w:pStyle w:val="ListBullet"/>
      </w:pPr>
      <w:r>
        <w:t>Resolution: Analyst blind spot (Multi-year thesis -- patience required) — resolves general; confirms or challenges</w:t>
      </w:r>
    </w:p>
    <w:p>
      <w:pPr>
        <w:pStyle w:val="ListBullet"/>
      </w:pPr>
      <w:r>
        <w:t>Specific timeline for when majority of 2,500+ restaurants will consistently deliver 10-minute servic (Unknown timing) — resolves multiple; resolves uncertainty</w:t>
      </w:r>
    </w:p>
    <w:p>
      <w:pPr>
        <w:pStyle w:val="ListBullet"/>
      </w:pPr>
      <w:r>
        <w:t>Quantified impact of Smart Kitchen on lunch daypart performance beyond Southwest region (Unknown timing) — resolves multiple; resolves uncertainty</w:t>
      </w:r>
    </w:p>
    <w:p>
      <w:pPr>
        <w:pStyle w:val="SectionHeading"/>
      </w:pPr>
      <w:r>
        <w:t>5. Risks, Blind Spots &amp; Kill Criteria</w:t>
      </w:r>
    </w:p>
    <w:p>
      <w:pPr>
        <w:pStyle w:val="SubHeading"/>
      </w:pPr>
      <w:r>
        <w:t>Top risks:</w:t>
      </w:r>
    </w:p>
    <w:p>
      <w:pPr>
        <w:pStyle w:val="ListBullet"/>
      </w:pPr>
      <w:r>
        <w:t>Wingstop had its first SSS decline in 22 years with -3% in 2025 — counter: Filing shows FY2025 guidance of 'low-to-mid single digit domestic same-store sales growth' - not negative growth. The -3% figure appears to be analyst speculation not supported by company guidance (source: filing) [serious]</w:t>
      </w:r>
    </w:p>
    <w:p>
      <w:pPr>
        <w:pStyle w:val="ListBullet"/>
      </w:pPr>
      <w:r>
        <w:t>Smart Kitchen will drive immediate SSS recovery — counter: Management noted in Q3 2025 call that 'we saw this dynamic broaden across the industry and within our business to more geographies as well as to the middle-income consumer' and guided that 'we expected the consumer environment to remain choppy with continued pressure on our core consumer' in 2026 [moderate]</w:t>
      </w:r>
    </w:p>
    <w:p>
      <w:pPr>
        <w:pStyle w:val="ListBullet"/>
      </w:pPr>
      <w:r>
        <w:t>Analyst blind spot — counter: Labor cost inflation pressure - BLS shows leisure &amp; hospitality wages up 3.3% YoY while food-away CPI only up 3.8%, compressing franchisee margins [moderate]</w:t>
      </w:r>
    </w:p>
    <w:p>
      <w:pPr>
        <w:pStyle w:val="SubHeading"/>
      </w:pPr>
      <w:r>
        <w:t>Blind spots (auditor-independent):</w:t>
      </w:r>
    </w:p>
    <w:p>
      <w:pPr>
        <w:pStyle w:val="ListBullet"/>
      </w:pPr>
      <w:r>
        <w:t>Labor cost inflation pressure - BLS shows leisure &amp; hospitality wages up 3.3% YoY while food-away CPI only up 3.8%, compressing franchisee margins</w:t>
      </w:r>
    </w:p>
    <w:p>
      <w:pPr>
        <w:pStyle w:val="ListBullet"/>
      </w:pPr>
      <w:r>
        <w:t>Delivery mix risk - Deck shows 31% delivery mix targeting 50%, but no analysis of delivery margin dilution impact on franchisee economics</w:t>
      </w:r>
    </w:p>
    <w:p>
      <w:pPr>
        <w:pStyle w:val="ListBullet"/>
      </w:pPr>
      <w:r>
        <w:t>Consumer trading down - Food-at-home CPI (+1.9%) significantly trailing food-away (+3.8%), creating structural headwind to restaurant traffic</w:t>
      </w:r>
    </w:p>
    <w:p>
      <w:pPr>
        <w:pStyle w:val="KillCriteria"/>
      </w:pPr>
      <w:r>
        <w:t>What would change our mind: Unable to close gap: Specific timeline for when majority of 2,500+ restaurants will consistently deliver 10-minute service standard</w:t>
      </w:r>
    </w:p>
    <w:p>
      <w:pPr>
        <w:pStyle w:val="SectionHeading"/>
      </w:pPr>
      <w:r>
        <w:t>Appendix</w:t>
      </w:r>
    </w:p>
    <w:p>
      <w:pPr>
        <w:pStyle w:val="SubHeading"/>
      </w:pPr>
      <w:r>
        <w:t>Evidence gaps (research TODO):</w:t>
      </w:r>
    </w:p>
    <w:p>
      <w:pPr>
        <w:pStyle w:val="ListBullet"/>
      </w:pPr>
      <w:r>
        <w:t>Specific timeline for when majority of 2,500+ restaurants will consistently deliver 10-minute service standard</w:t>
      </w:r>
    </w:p>
    <w:p>
      <w:pPr>
        <w:pStyle w:val="ListBullet"/>
      </w:pPr>
      <w:r>
        <w:t>Quantified impact of Smart Kitchen on lunch daypart performance beyond Southwest region</w:t>
      </w:r>
    </w:p>
    <w:p>
      <w:pPr>
        <w:pStyle w:val="ListBullet"/>
      </w:pPr>
      <w:r>
        <w:t>Customer frequency data by Smart Kitchen tenure cohort beyond the Southwest region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40" w:line="276" w:lineRule="auto"/>
    </w:pPr>
    <w:rPr>
      <w:rFonts w:ascii="Calibri" w:hAnsi="Calibri"/>
      <w:b/>
      <w:i w:val="0"/>
      <w:color w:val="0F2A4E"/>
      <w:sz w:val="40"/>
    </w:rPr>
  </w:style>
  <w:style w:type="paragraph" w:customStyle="1" w:styleId="SectionHeading">
    <w:name w:val="SectionHeading"/>
    <w:pPr>
      <w:spacing w:before="280" w:after="80" w:line="276" w:lineRule="auto"/>
    </w:pPr>
    <w:rPr>
      <w:rFonts w:ascii="Calibri" w:hAnsi="Calibri"/>
      <w:b/>
      <w:i w:val="0"/>
      <w:color w:val="0F2A4E"/>
      <w:sz w:val="28"/>
    </w:rPr>
  </w:style>
  <w:style w:type="paragraph" w:customStyle="1" w:styleId="SubHeading">
    <w:name w:val="SubHeading"/>
    <w:pPr>
      <w:spacing w:before="120" w:after="40" w:line="276" w:lineRule="auto"/>
    </w:pPr>
    <w:rPr>
      <w:rFonts w:ascii="Calibri" w:hAnsi="Calibri"/>
      <w:b/>
      <w:i w:val="0"/>
      <w:color w:val="334B6B"/>
      <w:sz w:val="22"/>
    </w:rPr>
  </w:style>
  <w:style w:type="paragraph" w:customStyle="1" w:styleId="PullQuote">
    <w:name w:val="PullQuote"/>
    <w:pPr>
      <w:spacing w:before="80" w:after="120" w:line="276" w:lineRule="auto"/>
      <w:ind w:left="432"/>
    </w:pPr>
    <w:rPr>
      <w:rFonts w:ascii="Calibri" w:hAnsi="Calibri"/>
      <w:b w:val="0"/>
      <w:i/>
      <w:color w:val="555555"/>
      <w:sz w:val="21"/>
    </w:rPr>
  </w:style>
  <w:style w:type="paragraph" w:customStyle="1" w:styleId="KillCriteria">
    <w:name w:val="KillCriteria"/>
    <w:pPr>
      <w:spacing w:before="120" w:after="120" w:line="276" w:lineRule="auto"/>
    </w:pPr>
    <w:rPr>
      <w:rFonts w:ascii="Calibri" w:hAnsi="Calibri"/>
      <w:b/>
      <w:i w:val="0"/>
      <w:color w:val="8C1D40"/>
      <w:sz w:val="21"/>
    </w:rPr>
  </w:style>
  <w:style w:type="paragraph" w:customStyle="1" w:styleId="WarningBanner">
    <w:name w:val="WarningBanner"/>
    <w:pPr>
      <w:spacing w:before="80" w:after="80" w:line="276" w:lineRule="auto"/>
    </w:pPr>
    <w:rPr>
      <w:rFonts w:ascii="Calibri" w:hAnsi="Calibri"/>
      <w:b/>
      <w:i w:val="0"/>
      <w:color w:val="8C1D40"/>
      <w:sz w:val="22"/>
    </w:rPr>
  </w:style>
  <w:style w:type="paragraph" w:customStyle="1" w:styleId="ReportBullet">
    <w:name w:val="ReportBullet"/>
    <w:pPr>
      <w:spacing w:before="0" w:after="60" w:line="276" w:lineRule="auto"/>
    </w:pPr>
    <w:rPr>
      <w:rFonts w:ascii="Calibri" w:hAnsi="Calibri"/>
      <w:b w:val="0"/>
      <w:i w:val="0"/>
      <w:color w:val="1A1A1A"/>
      <w:sz w:val="21"/>
    </w:rPr>
  </w:style>
  <w:style w:type="paragraph" w:customStyle="1" w:styleId="ReportCaption">
    <w:name w:val="ReportCaption"/>
    <w:pPr>
      <w:spacing w:before="40" w:after="40" w:line="276" w:lineRule="auto"/>
    </w:pPr>
    <w:rPr>
      <w:rFonts w:ascii="Calibri" w:hAnsi="Calibri"/>
      <w:b w:val="0"/>
      <w:i/>
      <w:color w:val="555555"/>
      <w:sz w:val="18"/>
    </w:rPr>
  </w:style>
  <w:style w:type="paragraph" w:customStyle="1" w:styleId="SmallMeta">
    <w:name w:val="SmallMeta"/>
    <w:pPr>
      <w:spacing w:before="0" w:after="80" w:line="276" w:lineRule="auto"/>
    </w:pPr>
    <w:rPr>
      <w:rFonts w:ascii="Calibri" w:hAnsi="Calibri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