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WING — WING</w:t>
      </w:r>
    </w:p>
    <w:p>
      <w:pPr>
        <w:pStyle w:val="SmallMeta"/>
      </w:pPr>
      <w:r>
        <w:t>As of 2026-06-22  |  Schema: franchise_restaurant  |  Data: polygon+alpha_vantage (FY2025)</w:t>
      </w:r>
    </w:p>
    <w:p>
      <w:pPr>
        <w:pStyle w:val="SubHeading"/>
      </w:pPr>
      <w:r>
        <w:rPr>
          <w:color w:val="8C1D40"/>
        </w:rPr>
        <w:t>Direction: SHORT | Current: $156.74</w:t>
      </w:r>
    </w:p>
    <w:p>
      <w:pPr>
        <w:pStyle w:val="SubHeading"/>
      </w:pPr>
      <w:r>
        <w:t>Summary</w:t>
      </w:r>
    </w:p>
    <w:p>
      <w:pPr>
        <w:pStyle w:val="ListBullet"/>
      </w:pPr>
      <w:r>
        <w:t>Thesis: Consensus FY2026 EPS of $4.57 is too high by approximately $0.50-0.70 because: (1) the updated SSS guide of 'low single-digit decline' post-Q1 implies a system-wide sales trajectory that is materially below what consensus revenue of $780M requires, and (2) the SG&amp;A guide of $146-149M (raised from $140M) is being underweighted by the street, which appears to be modeling closer to the original $140M base — a $6-9M miss that flows nearly 1:1 to EPS given the franchise model's high incremental margins.</w:t>
      </w:r>
    </w:p>
    <w:p>
      <w:pPr>
        <w:pStyle w:val="ListBullet"/>
      </w:pPr>
      <w:r>
        <w:t>Next catalyst: Next quarterly earnings report (2026-07-29 (37 days))</w:t>
      </w:r>
    </w:p>
    <w:p>
      <w:pPr>
        <w:pStyle w:val="ListBullet"/>
      </w:pPr>
      <w:r>
        <w:t>Top risk: Smart Kitchen and Club Wingstop loyalty will drive 2H 2026 SSS recovery to positive territory, validating the 'flat to low single-digit decl</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Global Net New Restaurants diverges from guide per guidance_vs_our_view but the basis prose does not cite management's guide directly. A divergence-from-guide thesis requires an explicit guide quote ('mgmt guided $X-Y on Q_ call') and a named reason for the gap, not general skepticism.</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$1.03</w:t>
            </w:r>
          </w:p>
        </w:tc>
        <w:tc>
          <w:tcPr>
            <w:tcW w:type="dxa" w:w="1399"/>
            <w:tcBorders>
              <w:top w:val="single" w:sz="4" w:color="BDC3C7"/>
              <w:bottom w:val="single" w:sz="4" w:color="BDC3C7"/>
              <w:left w:val="single" w:sz="4" w:color="BDC3C7"/>
              <w:right w:val="single" w:sz="4" w:color="BDC3C7"/>
            </w:tcBorders>
          </w:tcPr>
          <w:p>
            <w:r>
              <w:t>$0.94 – $1.18</w:t>
            </w:r>
          </w:p>
        </w:tc>
        <w:tc>
          <w:tcPr>
            <w:tcW w:type="dxa" w:w="1399"/>
            <w:tcBorders>
              <w:top w:val="single" w:sz="4" w:color="BDC3C7"/>
              <w:bottom w:val="single" w:sz="4" w:color="BDC3C7"/>
              <w:left w:val="single" w:sz="4" w:color="BDC3C7"/>
              <w:right w:val="single" w:sz="4" w:color="BDC3C7"/>
            </w:tcBorders>
          </w:tcPr>
          <w:p>
            <w:r>
              <w:t>27</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$1.18</w:t>
            </w:r>
          </w:p>
        </w:tc>
        <w:tc>
          <w:tcPr>
            <w:tcW w:type="dxa" w:w="1399"/>
            <w:tcBorders>
              <w:top w:val="single" w:sz="4" w:color="BDC3C7"/>
              <w:bottom w:val="single" w:sz="4" w:color="BDC3C7"/>
              <w:left w:val="single" w:sz="4" w:color="BDC3C7"/>
              <w:right w:val="single" w:sz="4" w:color="BDC3C7"/>
            </w:tcBorders>
          </w:tcPr>
          <w:p>
            <w:r>
              <w:t>$1.07 – $1.40</w:t>
            </w:r>
          </w:p>
        </w:tc>
        <w:tc>
          <w:tcPr>
            <w:tcW w:type="dxa" w:w="1399"/>
            <w:tcBorders>
              <w:top w:val="single" w:sz="4" w:color="BDC3C7"/>
              <w:bottom w:val="single" w:sz="4" w:color="BDC3C7"/>
              <w:left w:val="single" w:sz="4" w:color="BDC3C7"/>
              <w:right w:val="single" w:sz="4" w:color="BDC3C7"/>
            </w:tcBorders>
          </w:tcPr>
          <w:p>
            <w:r>
              <w:t>27</w:t>
            </w:r>
          </w:p>
        </w:tc>
        <w:tc>
          <w:tcPr>
            <w:tcW w:type="dxa" w:w="1399"/>
            <w:tcBorders>
              <w:top w:val="single" w:sz="4" w:color="BDC3C7"/>
              <w:bottom w:val="single" w:sz="4" w:color="BDC3C7"/>
              <w:left w:val="single" w:sz="4" w:color="BDC3C7"/>
              <w:right w:val="single" w:sz="4" w:color="BDC3C7"/>
            </w:tcBorders>
          </w:tcPr>
          <w:p>
            <w:r>
              <w:t>+8.5%</w:t>
            </w:r>
          </w:p>
        </w:tc>
        <w:tc>
          <w:tcPr>
            <w:tcW w:type="dxa" w:w="1399"/>
            <w:tcBorders>
              <w:top w:val="single" w:sz="4" w:color="BDC3C7"/>
              <w:bottom w:val="single" w:sz="4" w:color="BDC3C7"/>
              <w:left w:val="single" w:sz="4" w:color="BDC3C7"/>
              <w:right w:val="single" w:sz="4" w:color="BDC3C7"/>
            </w:tcBorders>
          </w:tcPr>
          <w:p>
            <w:r>
              <w:t>≈ -0.003</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$4.57</w:t>
            </w:r>
          </w:p>
        </w:tc>
        <w:tc>
          <w:tcPr>
            <w:tcW w:type="dxa" w:w="1399"/>
            <w:tcBorders>
              <w:top w:val="single" w:sz="4" w:color="BDC3C7"/>
              <w:bottom w:val="single" w:sz="4" w:color="BDC3C7"/>
              <w:left w:val="single" w:sz="4" w:color="BDC3C7"/>
              <w:right w:val="single" w:sz="4" w:color="BDC3C7"/>
            </w:tcBorders>
          </w:tcPr>
          <w:p>
            <w:r>
              <w:t>$4.36 – $4.79</w:t>
            </w:r>
          </w:p>
        </w:tc>
        <w:tc>
          <w:tcPr>
            <w:tcW w:type="dxa" w:w="1399"/>
            <w:tcBorders>
              <w:top w:val="single" w:sz="4" w:color="BDC3C7"/>
              <w:bottom w:val="single" w:sz="4" w:color="BDC3C7"/>
              <w:left w:val="single" w:sz="4" w:color="BDC3C7"/>
              <w:right w:val="single" w:sz="4" w:color="BDC3C7"/>
            </w:tcBorders>
          </w:tcPr>
          <w:p>
            <w:r>
              <w:t>28</w:t>
            </w:r>
          </w:p>
        </w:tc>
        <w:tc>
          <w:tcPr>
            <w:tcW w:type="dxa" w:w="1399"/>
            <w:tcBorders>
              <w:top w:val="single" w:sz="4" w:color="BDC3C7"/>
              <w:bottom w:val="single" w:sz="4" w:color="BDC3C7"/>
              <w:left w:val="single" w:sz="4" w:color="BDC3C7"/>
              <w:right w:val="single" w:sz="4" w:color="BDC3C7"/>
            </w:tcBorders>
          </w:tcPr>
          <w:p>
            <w:r>
              <w:t>+11.9%</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↑16 / ↓12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$5.59</w:t>
            </w:r>
          </w:p>
        </w:tc>
        <w:tc>
          <w:tcPr>
            <w:tcW w:type="dxa" w:w="1399"/>
            <w:tcBorders>
              <w:top w:val="single" w:sz="4" w:color="BDC3C7"/>
              <w:bottom w:val="single" w:sz="4" w:color="BDC3C7"/>
              <w:left w:val="single" w:sz="4" w:color="BDC3C7"/>
              <w:right w:val="single" w:sz="4" w:color="BDC3C7"/>
            </w:tcBorders>
          </w:tcPr>
          <w:p>
            <w:r>
              <w:t>$5.24 – $6.16</w:t>
            </w:r>
          </w:p>
        </w:tc>
        <w:tc>
          <w:tcPr>
            <w:tcW w:type="dxa" w:w="1399"/>
            <w:tcBorders>
              <w:top w:val="single" w:sz="4" w:color="BDC3C7"/>
              <w:bottom w:val="single" w:sz="4" w:color="BDC3C7"/>
              <w:left w:val="single" w:sz="4" w:color="BDC3C7"/>
              <w:right w:val="single" w:sz="4" w:color="BDC3C7"/>
            </w:tcBorders>
          </w:tcPr>
          <w:p>
            <w:r>
              <w:t>28</w:t>
            </w:r>
          </w:p>
        </w:tc>
        <w:tc>
          <w:tcPr>
            <w:tcW w:type="dxa" w:w="1399"/>
            <w:tcBorders>
              <w:top w:val="single" w:sz="4" w:color="BDC3C7"/>
              <w:bottom w:val="single" w:sz="4" w:color="BDC3C7"/>
              <w:left w:val="single" w:sz="4" w:color="BDC3C7"/>
              <w:right w:val="single" w:sz="4" w:color="BDC3C7"/>
            </w:tcBorders>
          </w:tcPr>
          <w:p>
            <w:r>
              <w:t>+22.4%</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↑7 / ↓21</w:t>
            </w:r>
          </w:p>
        </w:tc>
      </w:tr>
    </w:tbl>
    <w:p>
      <w:r>
        <w:t>Revenue consensus: Q $0.19B (+9.9%)  |  Q+1 $0.20B (+14.0%)  |  FY $0.78B (+11.9%)  |  FY+1 $0.90B (+15.4%)</w:t>
      </w:r>
    </w:p>
    <w:p>
      <w:r>
        <w:t>Price targets: Mean $234.79  |  Median $237.50  |  Range $140.00–$305.00  |  Current $156.74 (+49.8% to mean)</w:t>
      </w:r>
    </w:p>
    <w:p>
      <w:r>
        <w:t>Analyst ratings (n=30): Strong Buy 5 · Buy 20 · Hold 5 · Sell 0 · Strong Sell 0  ·  83% bullish</w:t>
      </w:r>
    </w:p>
    <w:p>
      <w:r>
        <w:t>Next earnings: 2026-07-29 (37d out)  ·  EPS $1.03 ($0.94–$1.18)  ·  Rev $0.19B</w:t>
      </w:r>
    </w:p>
    <w:p>
      <w:pPr>
        <w:pStyle w:val="SectionHeading"/>
      </w:pPr>
      <w:r>
        <w:t>1. Research Synthesis</w:t>
      </w:r>
    </w:p>
    <w:p>
      <w:r>
        <w:t>Wingstop's investment thesis rests on a simple but powerful franchise royalty engine: as system-wide sales grow — driven by unit expansion and same-store sales — royalty and advertising fee revenue compounds at near-100% incremental margin above a relatively fixed SG&amp;A base. The FY2025 actuals confirm this structure: royalty/franchise/other revenue of approximately $233M plus advertising fees of $224M totaled ~$457M of high-margin revenue against $696.9M total, with company-owned restaurant sales of ~$119M making up the remainder. The gross margin of 82.6% in the structured financials reflects this franchise-heavy mix. The analytical question for FY2026 is whether the unit growth engine can compensate for the SSS headwind — and whether consensus has correctly sized both variables.</w:t>
      </w:r>
    </w:p>
    <w:p>
      <w:r>
        <w:t>On the SSS trajectory, the diligence trail is concerning. At the Q4 2025 earnings call (February 18, 2026), management guided domestic SSS to 'flat to low single-digit percent growth' for FY2026 — a constructive framing that implied a recovery from the -3% FY2025 result. The Q1 2026 call (April 29, 2026) then disclosed a -8.7% domestic SSS result for Q1, driven by what management attributed to 'atypical winter weather resulting in temporary restaurant closures in over 700 restaurants' and 'elevated gas prices as a result of the conflict in the Middle East.' Management updated the full-year SSS guide to 'low single-digit decline' — a roughly 300-400bps adverse revision from the February framing. The language shift is material: 'flat to low single-digit growth' implies a range of 0% to +3%; 'low single-digit decline' implies -1% to -3%. The midpoint moved from approximately +1.5% to approximately -2%, a 350bps swing. This is not a minor adjustment — on a domestic system of approximately 2,154 franchise restaurants with AUVs of ~$2.1M, a 350bps SSS swing represents roughly $158M of system-wide sales, which at a blended royalty+ad rate of approximately 9.5% (6% royalty + 3.5% ad fund, per FY2024 disclosures) translates to ~$15M of corporate revenue. That is a meaningful headwind that the consensus revenue range of $764-803M may not fully reflect.</w:t>
      </w:r>
    </w:p>
    <w:p>
      <w:pPr>
        <w:pStyle w:val="ListBullet"/>
      </w:pPr>
      <w:r>
        <w:rPr>
          <w:i/>
        </w:rPr>
        <w:t>→ Research confirms: Q1 2026 call (April 29, 2026) confirmed -8.7% domestic SSS decline attributed to atypical winter weather causing temporary closures in over 700 restaurants. Full-year guidance updated to low-single-digit decline. (fool.com)</w:t>
      </w:r>
    </w:p>
    <w:p>
      <w:r>
        <w:t>To stress-test the consensus revenue number, consider the unit growth math. Management reiterated 15-16% global unit growth at the Q1 2026 call, consistent with the Q4 2025 guide. Starting from approximately 2,900 system-wide restaurants at end-FY2025 (2,563 at end-FY2024 plus 493 net new in FY2025 per the Q4 2025 call), 15-16% growth implies approximately 435-464 net new restaurants in FY2026, reaching roughly 3,335-3,364 by year-end. Using a mid-year average of approximately 3,130 restaurants and a blended AUV of ~$2.0M (domestic ~$2.1M, international lower), system-wide sales would be approximately $6.26B — but this assumes flat SSS. With a -2% SSS assumption (midpoint of the updated guide), system-wide sales would be approximately $6.13B. At a blended royalty+ad rate of ~9.5%, that implies corporate revenue from royalties and ad fees of approximately $582M. Adding company-owned restaurant sales (approximately 50-56 stores at ~$2.4M AUV = ~$130M) and franchise fees, total corporate revenue would be approximately $720-730M — below the consensus midpoint of $780M by $50-60M. This is the core of Claim 1: consensus appears to be modeling SSS closer to flat or mildly positive, not the -2% midpoint of the updated guide.</w:t>
      </w:r>
    </w:p>
    <w:p>
      <w:pPr>
        <w:pStyle w:val="ListBullet"/>
      </w:pPr>
      <w:r>
        <w:rPr>
          <w:i/>
        </w:rPr>
        <w:t>→ Research [CONTRADICTS]: End-FY2025 system-wide restaurant count was 3,056, not ~2,900. The claim's math (2,563 + 493 = 3,056) is arithmetically correct but the stated starting point of "approximately 2,900" materially misrepresents the actual end-FY2025 position by 156 units (5.4% understatement). (wingstop.com)</w:t>
      </w:r>
    </w:p>
    <w:p>
      <w:r>
        <w:t>The SG&amp;A line is the second angle. At the Q4 2025 call, management guided FY2026 SG&amp;A to 'approximately $140M.' At the Q1 2026 call, this was raised to '$146-149M, which includes $3M of restructuring charges related to the corporate realignment and $28M of stock-based compensation expense.' The structured FY2025 actuals show SG&amp;A of $128.4M (18.4% of revenue). The new guide midpoint of $147.5M represents a $19M YoY increase — a 14.8% step-up. The revision history on FY2026 EPS (↑16/↓12 over 30 days) suggests the street is actively debating this, but the net revision balance is only modestly negative, implying many analysts have not yet fully incorporated the $7-9M SG&amp;A guide raise (from $140M to $147.5M midpoint). On a franchise model where incremental revenue flows at ~25% EBITDA margin, a $7M SG&amp;A miss flows through at roughly 1:1 to operating income — at a 26.5% tax rate and 28.1M diluted shares, that is approximately $0.18 of EPS. This is Claim 2: the street is underweighting the SG&amp;A guide raise.</w:t>
      </w:r>
    </w:p>
    <w:p>
      <w:pPr>
        <w:pStyle w:val="ListBullet"/>
      </w:pPr>
      <w:r>
        <w:rPr>
          <w:i/>
        </w:rPr>
        <w:t>→ Research confirms: Q1 2026 earnings call directly confirms SG&amp;A guidance of $146-149M including $3M restructuring charges and $28M stock-based compensation. All numerical components verified across multiple official sources. (wingstop.com)</w:t>
      </w:r>
    </w:p>
    <w:p>
      <w:r>
        <w:t>The sequential trajectory discipline is important here. Q1 2026 revenue of $183.7M versus Q4 2025 revenue of $176M represents a +4.3% sequential increase (the table's rounded figures imply +4.6%, consistent within rounding). A same-period prior-year sequential comparison — Q1 2025 versus Q4 2024 — would be the natural benchmark, but Q4 2024 is not present in our 24-quarter historicals table (the table jumps from Q3 2024 at $162M directly to Q1 2025 at $171M), so a precise prior-year seasonal comparison is unavailable from this data set; any back-calculation from an externally sourced FY2024 full-year total would rely on data outside the verified table and should be treated as unconfirmed. What the table does confirm is that Q1 2025 itself showed a +17.4% YoY revenue gain, and Q1 2026 shows a +7.4% YoY gain — a meaningful deceleration in the year-over-year growth rate that is directionally consistent with the SSS deterioration narrative. The operating margin in Q1 2026 was 27.4% versus Q1 2025's 22.4% — but Q1 2025 included the $92.5M non-recurring gain from the UK brand partner (LPH) sale, which inflated Q1 2025 net income to $3.24 EPS. Stripping that out, Q1 2025 adjusted EPS was approximately $1.08 - $0.18 (18 cents of additional interest expense from the $500M securitization) = approximately $0.90 on a comparable basis, making Q1 2026's $1.08 reported EPS a genuine ~20% YoY improvement on an adjusted basis — consistent with the double-digit adjusted EBITDA growth management cited.</w:t>
      </w:r>
    </w:p>
    <w:p>
      <w:pPr>
        <w:pStyle w:val="ListBullet"/>
      </w:pPr>
      <w:r>
        <w:rPr>
          <w:i/>
        </w:rPr>
        <w:t>→ Research [CONTRADICTS]: SEC 10-Q filing discloses $97.2M gain on LPH sale, not $92.5M. The $92.5M figure appears in Q1 2026 earnings transcripts as a net gain after transaction costs and taxes, but the pre-tax gain was $97.2M per Q1 2025 10-Q. (sec.gov)</w:t>
      </w:r>
    </w:p>
    <w:p>
      <w:r>
        <w:t>On the unit growth engine, management's credibility is high. The pipeline is at 'record levels' per the Q1 2026 call, with approximately 2,300 committed restaurants disclosed at the Q4 2025 call. The 493 net new openings in FY2025 (versus 349 in FY2024 and 255 in FY2023) demonstrates genuine acceleration. Brand partner economics remain compelling: 70%+ unlevered cash-on-cash returns on ~$580K upfront investment, with AUVs at $2.1M domestically and corporate stores approaching $2.5M. The Smart Kitchen rollout — completed across 2,500+ restaurants in 10 months — is showing a mid-single-digit SSS delta in the Southwest region (600+ restaurants) versus the national average, per the Q3 2025 and Q4 2025 calls. This is the bull case's strongest pillar: if Smart Kitchen benefits scale nationally as Club Wingstop loyalty launches, the 2H 2026 SSS recovery is plausible. The bear case is that the macro headwinds (consumer sentiment at 49.8 per U. of Michigan, personal saving rate at 2.6% — down 52.7% YoY per FRED, headline CPI at +4.2% YoY) are structural, not weather-related, and that the lower-income consumer Wingstop over-indexes to is under sustained pressure. The Q1 2026 call's attribution of the -8.7% SSS to weather and gas prices is partially credible (management estimated a ~4pp headwind from these factors), but the underlying trend ex-weather was still negative, and the macro backdrop has not materially improved.</w:t>
      </w:r>
    </w:p>
    <w:p>
      <w:pPr>
        <w:pStyle w:val="ListBullet"/>
      </w:pPr>
      <w:r>
        <w:rPr>
          <w:i/>
        </w:rPr>
        <w:t>→ Research confirms: SEC filing confirms Smart Kitchen rollout completed across 2,586 domestic restaurants in 10 months. Southwest region mid-single-digit SSS delta versus U.S. average confirmed in Q3 2025 earnings call. (sec.gov)</w:t>
      </w:r>
    </w:p>
    <w:p>
      <w:pPr>
        <w:pStyle w:val="ListBullet"/>
      </w:pPr>
      <w:r>
        <w:rPr>
          <w:i/>
        </w:rPr>
        <w:t>→ Research: Search confirms 70%+ cash-on-cash returns claim and 15-17% unit growth guidance. However, reveals material cost pressures: same-store sales declined 3.3% in 2025 (first decline in 22 years), and rising food/labor costs are documented as ongoing headwinds. Management explicitly states focus on 'enhancing unit economics' amid inflationary environment, indicating returns may be under compression desp (sec.gov)</w:t>
      </w:r>
    </w:p>
    <w:p>
      <w:r>
        <w:t>On capital allocation, Wingstop repurchased over $250M of shares in FY2025 at an average price of approximately $260-285 (per Q3 2025 call: 140,103 shares at $285; Q3 2025 call also noted 2.3M shares at $260.45 through Q3). The Board authorized an additional $300M for repurchases in March 2026, and the stock is now trading at approximately $157 (per the GuruFocus news item citing $156.74 on June 23, 2026) — roughly 40% below the average repurchase price. This is a meaningful signal: management is buying back stock at prices well above current levels, which either reflects confidence in the recovery thesis or poor capital allocation timing. The GF Value of $380.78 versus the current price of $156.74 (per the June 23 GuruFocus item) and the Simply Wall St. note suggesting 44.6% undervaluation relative to Chipotle-led sector rotation are consistent with a valuation dislocation. The short interest of 20% of float is the critical positioning signal: sophisticated money is heavily short this name, and the bear thesis (SSS deterioration is structural, not cyclical; the franchise royalty model is over-earning relative to franchisee health) has real teeth. The bull case requires 2H 2026 SSS recovery — if that doesn't materialize by Q3 2026 earnings (approximately October 2026), the short thesis gains credibility.</w:t>
      </w:r>
    </w:p>
    <w:p>
      <w:pPr>
        <w:pStyle w:val="ListBullet"/>
      </w:pPr>
      <w:r>
        <w:rPr>
          <w:i/>
        </w:rPr>
        <w:t>→ Research confirms: Q3 2025 SEC filing confirms 140,103 shares repurchased at $285.26 average price and 2.3M shares at $260.45 cumulative average since program inception. $300M authorization confirmed March 5, 2026 board approval. (sec.gov)</w:t>
      </w:r>
    </w:p>
    <w:p>
      <w:pPr>
        <w:pStyle w:val="ListBullet"/>
      </w:pPr>
      <w:r>
        <w:rPr>
          <w:i/>
        </w:rPr>
        <w:t>→ Research: Wingstop insiders executed exclusively selling activity in 2025-2026 with zero purchases: 6 sales totaling $3.12M in past 12 months, including CEO Skipworth ($5.04M), CFO Kaleida ($2.03M), and Director Madati ($704K). This contradicts a management-confidence narrative when stock is ~40% below average repurchase prices. (insiderflow.io)</w:t>
      </w:r>
    </w:p>
    <w:p>
      <w:r>
        <w:t>On insider activity, the material events are mixed but not alarming. Director Kilandigalu sold 42.1% of his stake ($0.70M) in February 2026 at $260.73 — near the highs. Former SVP/CIO Fallon sold 61.5% of his stake across March-May 2026 at an average of $165.25 — but Fallon is a former executive, so this is likely post-departure liquidation. The director RSU grants in May 2026 (Greco, Lavelle, McDonald) are routine compensation. Mizuho reiterated Outperform with a $280 target on June 6, 2026, citing the loyalty program — the only analyst action in the material events. The ownership structure is dominated by passive/index holders (BlackRock 11.5%, Vanguard 9.6%, State Street 3.1%) with T. Rowe Price (11.3%) and Fidelity (7.9%) as the largest active managers. Lone Pine Capital holds $380.5M (2.8% of fund, held 3 quarters) — a meaningful conviction position from a respected long-only hedge fund. Citadel added aggressively (+3521% QoQ to $134.7M) in Q4 2025, while Renaissance exited (-$77M, -100%). The net institutional signal is mixed but not alarming.</w:t>
      </w:r>
    </w:p>
    <w:p>
      <w:r>
        <w:t>Synthesizing: our FY2026 EPS estimate of approximately $3.90-4.10 is $0.47-0.67 below consensus $4.57. The gap is driven by (1) a more conservative SSS assumption of -2% to -3% (versus what consensus implies of approximately flat to -1%), which reduces system-wide sales and royalty revenue by approximately $40-50M versus consensus, and (2) full incorporation of the $147.5M SG&amp;A guide midpoint versus what appears to be a consensus anchor closer to $140-143M. The strongest bear case to our own view: management's attribution of Q1's -8.7% SSS to weather and gas prices is credible, and if 2H 2026 sees SSS recovery to +2-3% (aided by Club Wingstop loyalty launch and Smart Kitchen maturation), the full-year SSS could land at -1% to flat — closer to the original guide and supportive of consensus revenue. The catalyst that tests this thesis is Q2 2026 earnings (approximately late July/early August 2026): if Q2 SSS shows meaningful sequential improvement from Q1's -8.7%, the recovery thesis gains credibility and our below-consensus view is wrong. If Q2 SSS remains in the -4% to -6% range, the full-year guide becomes increasingly difficult to achieve and consensus estimates face further downward revision.</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$1.03</w:t>
            </w:r>
          </w:p>
        </w:tc>
        <w:tc>
          <w:tcPr>
            <w:tcW w:type="dxa" w:w="3264"/>
            <w:tcBorders>
              <w:top w:val="single" w:sz="4" w:color="BDC3C7"/>
              <w:bottom w:val="single" w:sz="4" w:color="BDC3C7"/>
              <w:left w:val="single" w:sz="4" w:color="BDC3C7"/>
              <w:right w:val="single" w:sz="4" w:color="BDC3C7"/>
            </w:tcBorders>
          </w:tcPr>
          <w:p>
            <w:r>
              <w:t>$192M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$1.18</w:t>
            </w:r>
          </w:p>
        </w:tc>
        <w:tc>
          <w:tcPr>
            <w:tcW w:type="dxa" w:w="3264"/>
            <w:tcBorders>
              <w:top w:val="single" w:sz="4" w:color="BDC3C7"/>
              <w:bottom w:val="single" w:sz="4" w:color="BDC3C7"/>
              <w:left w:val="single" w:sz="4" w:color="BDC3C7"/>
              <w:right w:val="single" w:sz="4" w:color="BDC3C7"/>
            </w:tcBorders>
          </w:tcPr>
          <w:p>
            <w:r>
              <w:t>$200M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$4.57</w:t>
            </w:r>
          </w:p>
        </w:tc>
        <w:tc>
          <w:tcPr>
            <w:tcW w:type="dxa" w:w="3264"/>
            <w:tcBorders>
              <w:top w:val="single" w:sz="4" w:color="BDC3C7"/>
              <w:bottom w:val="single" w:sz="4" w:color="BDC3C7"/>
              <w:left w:val="single" w:sz="4" w:color="BDC3C7"/>
              <w:right w:val="single" w:sz="4" w:color="BDC3C7"/>
            </w:tcBorders>
          </w:tcPr>
          <w:p>
            <w:r>
              <w:t>$780M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$5.59</w:t>
            </w:r>
          </w:p>
        </w:tc>
        <w:tc>
          <w:tcPr>
            <w:tcW w:type="dxa" w:w="3264"/>
            <w:tcBorders>
              <w:top w:val="single" w:sz="4" w:color="BDC3C7"/>
              <w:bottom w:val="single" w:sz="4" w:color="BDC3C7"/>
              <w:left w:val="single" w:sz="4" w:color="BDC3C7"/>
              <w:right w:val="single" w:sz="4" w:color="BDC3C7"/>
            </w:tcBorders>
          </w:tcPr>
          <w:p>
            <w:r>
              <w:t>$900M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$780M</w:t>
            </w:r>
          </w:p>
        </w:tc>
        <w:tc>
          <w:tcPr>
            <w:tcW w:type="dxa" w:w="1632"/>
            <w:tcBorders>
              <w:top w:val="single" w:sz="4" w:color="BDC3C7"/>
              <w:bottom w:val="single" w:sz="4" w:color="BDC3C7"/>
              <w:left w:val="single" w:sz="4" w:color="BDC3C7"/>
              <w:right w:val="single" w:sz="4" w:color="BDC3C7"/>
            </w:tcBorders>
          </w:tcPr>
          <w:p>
            <w:r>
              <w:t>$725M</w:t>
            </w:r>
          </w:p>
        </w:tc>
        <w:tc>
          <w:tcPr>
            <w:tcW w:type="dxa" w:w="1632"/>
            <w:tcBorders>
              <w:top w:val="single" w:sz="4" w:color="BDC3C7"/>
              <w:bottom w:val="single" w:sz="4" w:color="BDC3C7"/>
              <w:left w:val="single" w:sz="4" w:color="BDC3C7"/>
              <w:right w:val="single" w:sz="4" w:color="BDC3C7"/>
            </w:tcBorders>
          </w:tcPr>
          <w:p>
            <w:r>
              <w:t>-0.55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$5.59</w:t>
            </w:r>
          </w:p>
        </w:tc>
        <w:tc>
          <w:tcPr>
            <w:tcW w:type="dxa" w:w="1632"/>
            <w:tcBorders>
              <w:top w:val="single" w:sz="4" w:color="BDC3C7"/>
              <w:bottom w:val="single" w:sz="4" w:color="BDC3C7"/>
              <w:left w:val="single" w:sz="4" w:color="BDC3C7"/>
              <w:right w:val="single" w:sz="4" w:color="BDC3C7"/>
            </w:tcBorders>
          </w:tcPr>
          <w:p>
            <w:r>
              <w:t>$4.80</w:t>
            </w:r>
          </w:p>
        </w:tc>
        <w:tc>
          <w:tcPr>
            <w:tcW w:type="dxa" w:w="1632"/>
            <w:tcBorders>
              <w:top w:val="single" w:sz="4" w:color="BDC3C7"/>
              <w:bottom w:val="single" w:sz="4" w:color="BDC3C7"/>
              <w:left w:val="single" w:sz="4" w:color="BDC3C7"/>
              <w:right w:val="single" w:sz="4" w:color="BDC3C7"/>
            </w:tcBorders>
          </w:tcPr>
          <w:p>
            <w:r>
              <w:t>-0.79</w:t>
            </w:r>
          </w:p>
        </w:tc>
        <w:tc>
          <w:tcPr>
            <w:tcW w:type="dxa" w:w="1632"/>
            <w:tcBorders>
              <w:top w:val="single" w:sz="4" w:color="BDC3C7"/>
              <w:bottom w:val="single" w:sz="4" w:color="BDC3C7"/>
              <w:left w:val="single" w:sz="4" w:color="BDC3C7"/>
              <w:right w:val="single" w:sz="4" w:color="BDC3C7"/>
            </w:tcBorders>
          </w:tcPr>
          <w:p>
            <w:r>
              <w:t>cross_corpus</w:t>
            </w:r>
          </w:p>
        </w:tc>
      </w:tr>
    </w:tbl>
    <w:p>
      <w:pPr>
        <w:pStyle w:val="SubHeading"/>
      </w:pPr>
      <w:r>
        <w:t>Claim 1 — consensus_fy_revenue</w:t>
      </w:r>
    </w:p>
    <w:p>
      <w:r>
        <w:t>The Q1 2026 call updated domestic SSS guidance to 'low single-digit decline' (approximately -1% to -3%, midpoint -2%), a ~350bps adverse shift from the February 2026 guide of 'flat to low single-digit growth.' Applying -2% SSS to the unit-growth math (15-16% global unit growth, ~3,130 average system restaurants, ~$2.0M blended AUV) yields system-wide sales of approximately $6.13B and corporate royalty+ad revenue of ~$582M; adding company-owned sales of ~$130M and fees implies total revenue of ~$720-730M, approximately $50-60M below the $780M consensus midpoint.</w:t>
      </w:r>
    </w:p>
    <w:p>
      <w:r>
        <w:t>Street anchor: $780M (yfinance consensus (FY2026, 28 analysts)) → Our view: $725M</w:t>
      </w:r>
    </w:p>
    <w:p>
      <w:pPr>
        <w:pStyle w:val="PullQuote"/>
      </w:pPr>
      <w:r>
        <w:t>“We have updated our full year outlook to reflect our results for Q1 and now anticipate same store sales to be down low single digits.”  (transcript)</w:t>
      </w:r>
    </w:p>
    <w:p>
      <w:pPr>
        <w:pStyle w:val="PullQuote"/>
      </w:pPr>
      <w:r>
        <w:t>“With that, our 2026 outlook for domestic same-store sales is flat to low single-digit percent growth.”  (transcript)</w:t>
      </w:r>
    </w:p>
    <w:p>
      <w:pPr>
        <w:pStyle w:val="PullQuote"/>
      </w:pPr>
      <w:r>
        <w:t>“We estimate that higher fuel prices and the unusual winter weather in January, which caused a high rate of weather-related restaurant closures, contributed to an approximately four percentage point headwind to domestic same-store sales in the first quarter.”  (transcript)</w:t>
      </w:r>
    </w:p>
    <w:p>
      <w:r>
        <w:t>Why not consensus: Sell-side analysts typically update FY revenue top-down from the revised SSS guide but may anchor to the original $780M range set in February 2026 before the Q1 SSS downgrade; the revision history (↑16/↓12 on FY EPS over 30 days) shows the street is debating but has not converged on a lower number, suggesting many models still embed SSS closer to flat rather than the -2% midpoint of the updated guide. The unit-growth math reconciliation (system-wide sales × royalty rate) is a bottom-up check most top-down models skip.</w:t>
      </w:r>
    </w:p>
    <w:p>
      <w:pPr>
        <w:pStyle w:val="KillCriteria"/>
      </w:pPr>
      <w:r>
        <w:t>Falsifier: If Q2 2026 domestic SSS prints above -3% (showing sequential improvement from Q1's -8.7%) and management reaffirms or raises the full-year SSS guide on the Q2 call, the revenue recovery thesis is intact and our $725M estimate is too low.</w:t>
      </w:r>
    </w:p>
    <w:p>
      <w:pPr>
        <w:pStyle w:val="SubHeading"/>
      </w:pPr>
      <w:r>
        <w:t>Claim 2 — consensus_next_fy_eps</w:t>
      </w:r>
    </w:p>
    <w:p>
      <w:r>
        <w:t>Consensus FY2027 EPS of $5.59 (+22.4% YoY from $4.57) implies a significant SSS recovery and continued 15%+ unit growth compounding into a higher royalty base. However, the FY2027 EPS revision trend (↑7/↓21 over 30 days — the most bearish revision skew in the consensus block) signals the street is already cutting FY2027 numbers, and the structural macro headwinds (consumer sentiment at 49.8, personal saving rate at 2.6% down 52.7% YoY per FRED, headline CPI at +4.2% YoY) suggest the lower-income consumer Wingstop over-indexes to faces sustained pressure beyond 2026. If FY2026 SSS lands at -2% and the recovery to positive SSS is delayed into late 2027, the FY2027 EPS consensus of $5.59 requires approximately +4-5% SSS in FY2027 — an assumption that is increasingly difficult to defend given the macro backdrop and the brand's demonstrated sensitivity to fuel prices and lower-income consumer stress.</w:t>
      </w:r>
    </w:p>
    <w:p>
      <w:r>
        <w:t>Street anchor: $5.59 (yfinance consensus (FY2027, 28 analysts)) → Our view: $4.80</w:t>
      </w:r>
    </w:p>
    <w:p>
      <w:pPr>
        <w:pStyle w:val="PullQuote"/>
      </w:pPr>
      <w:r>
        <w:t>“We believe this is only temporary and the current consumer environment will prove to be cyclical. While none of us can predict the duration, where I am focused is on the strategies we are executing that position Wingstop to return to same-store sales growth.”  (transcript)</w:t>
      </w:r>
    </w:p>
    <w:p>
      <w:pPr>
        <w:pStyle w:val="PullQuote"/>
      </w:pPr>
      <w:r>
        <w:t>“Consumer sentiment (U. of Michigan): 49.8 (as of 2026-04-01), down -4.6% YoY. Personal saving rate: 2.60% (as of 2026-04-01), down -52.7% YoY.”  (macro)</w:t>
      </w:r>
    </w:p>
    <w:p>
      <w:pPr>
        <w:pStyle w:val="PullQuote"/>
      </w:pPr>
      <w:r>
        <w:t>“EPS revisions for Next FY (FY2027): ↑7 / ↓21 over 30 days”  (peer)</w:t>
      </w:r>
    </w:p>
    <w:p>
      <w:r>
        <w:t>Why not consensus: FY2027 estimates are typically set by extrapolating the long-term algorithm (10%+ unit growth + 2-4% SSS + operating leverage) without stress-testing the SSS recovery assumption against the macro environment. The 21 downward revisions versus 7 upward in the last 30 days shows the street is moving in our direction, but the consensus midpoint of $5.59 still embeds a recovery scenario that the macro data and Q1 2026 SSS print do not yet support. Analysts anchoring to the long-term algorithm miss the duration risk of the consumer headwind.</w:t>
      </w:r>
    </w:p>
    <w:p>
      <w:pPr>
        <w:pStyle w:val="KillCriteria"/>
      </w:pPr>
      <w:r>
        <w:t>Falsifier: If Q2 and Q3 2026 SSS show sequential improvement to -3% and -1% respectively, demonstrating the Smart Kitchen and Club Wingstop loyalty program are driving measurable traffic recovery, the FY2027 recovery scenario becomes credible and our $4.80 estimate is too conservative.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Domestic Same-Store Sales</w:t>
            </w:r>
          </w:p>
        </w:tc>
        <w:tc>
          <w:tcPr>
            <w:tcW w:type="dxa" w:w="2448"/>
            <w:tcBorders>
              <w:top w:val="single" w:sz="4" w:color="BDC3C7"/>
              <w:bottom w:val="single" w:sz="4" w:color="BDC3C7"/>
              <w:left w:val="single" w:sz="4" w:color="BDC3C7"/>
              <w:right w:val="single" w:sz="4" w:color="BDC3C7"/>
            </w:tcBorders>
          </w:tcPr>
          <w:p>
            <w:r>
              <w:rPr>
                <w:b/>
              </w:rPr>
              <w:t>-3.90%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-4.90%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Q1 2026 domestic SSS of -8.7% included an estimated ~4pp headwind from weather and gas prices per management's Q1 2026 call disclosure, implying an underlying traffic trend of approximately -4% to -5%. Management updated</w:t>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+1.00%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Food away from home CPI was +3.5% YoY as of May 2026 per BLS data, suggesting the industry has pricing power. However, Wingstop's core consumer over-indexes to lower-income demographics, limiting the brand's ability to t</w:t>
            </w:r>
          </w:p>
        </w:tc>
      </w:tr>
      <w:tr>
        <w:tc>
          <w:tcPr>
            <w:tcW w:type="dxa" w:w="2448"/>
            <w:tcBorders>
              <w:top w:val="single" w:sz="4" w:color="BDC3C7"/>
              <w:bottom w:val="single" w:sz="4" w:color="BDC3C7"/>
              <w:left w:val="single" w:sz="4" w:color="BDC3C7"/>
              <w:right w:val="single" w:sz="4" w:color="BDC3C7"/>
            </w:tcBorders>
          </w:tcPr>
          <w:p>
            <w:r>
              <w:rPr>
                <w:b/>
              </w:rPr>
              <w:t>Global Net New Restaurants</w:t>
            </w:r>
          </w:p>
        </w:tc>
        <w:tc>
          <w:tcPr>
            <w:tcW w:type="dxa" w:w="2448"/>
            <w:tcBorders>
              <w:top w:val="single" w:sz="4" w:color="BDC3C7"/>
              <w:bottom w:val="single" w:sz="4" w:color="BDC3C7"/>
              <w:left w:val="single" w:sz="4" w:color="BDC3C7"/>
              <w:right w:val="single" w:sz="4" w:color="BDC3C7"/>
            </w:tcBorders>
          </w:tcPr>
          <w:p>
            <w:r>
              <w:rPr>
                <w:b/>
              </w:rPr>
              <w:t>385</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domestic_net_new</w:t>
            </w:r>
          </w:p>
        </w:tc>
        <w:tc>
          <w:tcPr>
            <w:tcW w:type="dxa" w:w="2448"/>
            <w:tcBorders>
              <w:top w:val="single" w:sz="4" w:color="BDC3C7"/>
              <w:bottom w:val="single" w:sz="4" w:color="BDC3C7"/>
              <w:left w:val="single" w:sz="4" w:color="BDC3C7"/>
              <w:right w:val="single" w:sz="4" w:color="BDC3C7"/>
            </w:tcBorders>
          </w:tcPr>
          <w:p>
            <w:r>
              <w:t>230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Management reiterated 15-16% global unit growth at the Q1 2026 call, with the pipeline at 'record levels' and approximately 2,300 committed restaurants disclosed at the Q4 2025 call. FY2025 saw 493 net new restaurants gl</w:t>
            </w:r>
          </w:p>
        </w:tc>
      </w:tr>
      <w:tr>
        <w:tc>
          <w:tcPr>
            <w:tcW w:type="dxa" w:w="2448"/>
            <w:tcBorders>
              <w:top w:val="single" w:sz="4" w:color="BDC3C7"/>
              <w:bottom w:val="single" w:sz="4" w:color="BDC3C7"/>
              <w:left w:val="single" w:sz="4" w:color="BDC3C7"/>
              <w:right w:val="single" w:sz="4" w:color="BDC3C7"/>
            </w:tcBorders>
          </w:tcPr>
          <w:p>
            <w:r>
              <w:t xml:space="preserve">    international_net_new</w:t>
            </w:r>
          </w:p>
        </w:tc>
        <w:tc>
          <w:tcPr>
            <w:tcW w:type="dxa" w:w="2448"/>
            <w:tcBorders>
              <w:top w:val="single" w:sz="4" w:color="BDC3C7"/>
              <w:bottom w:val="single" w:sz="4" w:color="BDC3C7"/>
              <w:left w:val="single" w:sz="4" w:color="BDC3C7"/>
              <w:right w:val="single" w:sz="4" w:color="BDC3C7"/>
            </w:tcBorders>
          </w:tcPr>
          <w:p>
            <w:r>
              <w:t>155</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International represented approximately 359 restaurants at end-FY2024 and has been growing at approximately 25-30% annually per management commentary. The Q4 2025 call noted international as 'supercharged for growth.' We</w:t>
            </w:r>
          </w:p>
        </w:tc>
      </w:tr>
      <w:tr>
        <w:tc>
          <w:tcPr>
            <w:tcW w:type="dxa" w:w="2448"/>
            <w:tcBorders>
              <w:top w:val="single" w:sz="4" w:color="BDC3C7"/>
              <w:bottom w:val="single" w:sz="4" w:color="BDC3C7"/>
              <w:left w:val="single" w:sz="4" w:color="BDC3C7"/>
              <w:right w:val="single" w:sz="4" w:color="BDC3C7"/>
            </w:tcBorders>
          </w:tcPr>
          <w:p>
            <w:r>
              <w:rPr>
                <w:b/>
              </w:rPr>
              <w:t>Royalty Rate</w:t>
            </w:r>
          </w:p>
        </w:tc>
        <w:tc>
          <w:tcPr>
            <w:tcW w:type="dxa" w:w="2448"/>
            <w:tcBorders>
              <w:top w:val="single" w:sz="4" w:color="BDC3C7"/>
              <w:bottom w:val="single" w:sz="4" w:color="BDC3C7"/>
              <w:left w:val="single" w:sz="4" w:color="BDC3C7"/>
              <w:right w:val="single" w:sz="4" w:color="BDC3C7"/>
            </w:tcBorders>
          </w:tcPr>
          <w:p>
            <w:r>
              <w:rPr>
                <w:b/>
              </w:rPr>
              <w:t>+6.00%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blended_royalty_rate</w:t>
            </w:r>
          </w:p>
        </w:tc>
        <w:tc>
          <w:tcPr>
            <w:tcW w:type="dxa" w:w="2448"/>
            <w:tcBorders>
              <w:top w:val="single" w:sz="4" w:color="BDC3C7"/>
              <w:bottom w:val="single" w:sz="4" w:color="BDC3C7"/>
              <w:left w:val="single" w:sz="4" w:color="BDC3C7"/>
              <w:right w:val="single" w:sz="4" w:color="BDC3C7"/>
            </w:tcBorders>
          </w:tcPr>
          <w:p>
            <w:r>
              <w:t>+6.00%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FY2024 royalty revenue of $233M on system-wide sales of $4.8B implies a royalty rate of approximately 4.9% — but this includes advertising fees of $224M separately. The standard Wingstop franchise royalty rate is 6% of g</w:t>
            </w:r>
          </w:p>
        </w:tc>
      </w:tr>
      <w:tr>
        <w:tc>
          <w:tcPr>
            <w:tcW w:type="dxa" w:w="2448"/>
            <w:tcBorders>
              <w:top w:val="single" w:sz="4" w:color="BDC3C7"/>
              <w:bottom w:val="single" w:sz="4" w:color="BDC3C7"/>
              <w:left w:val="single" w:sz="4" w:color="BDC3C7"/>
              <w:right w:val="single" w:sz="4" w:color="BDC3C7"/>
            </w:tcBorders>
          </w:tcPr>
          <w:p>
            <w:r>
              <w:rPr>
                <w:b/>
              </w:rPr>
              <w:t>Ad Fund Rate</w:t>
            </w:r>
          </w:p>
        </w:tc>
        <w:tc>
          <w:tcPr>
            <w:tcW w:type="dxa" w:w="2448"/>
            <w:tcBorders>
              <w:top w:val="single" w:sz="4" w:color="BDC3C7"/>
              <w:bottom w:val="single" w:sz="4" w:color="BDC3C7"/>
              <w:left w:val="single" w:sz="4" w:color="BDC3C7"/>
              <w:right w:val="single" w:sz="4" w:color="BDC3C7"/>
            </w:tcBorders>
          </w:tcPr>
          <w:p>
            <w:r>
              <w:rPr>
                <w:b/>
              </w:rPr>
              <w:t>+4.50%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blended_ad_fund_rate</w:t>
            </w:r>
          </w:p>
        </w:tc>
        <w:tc>
          <w:tcPr>
            <w:tcW w:type="dxa" w:w="2448"/>
            <w:tcBorders>
              <w:top w:val="single" w:sz="4" w:color="BDC3C7"/>
              <w:bottom w:val="single" w:sz="4" w:color="BDC3C7"/>
              <w:left w:val="single" w:sz="4" w:color="BDC3C7"/>
              <w:right w:val="single" w:sz="4" w:color="BDC3C7"/>
            </w:tcBorders>
          </w:tcPr>
          <w:p>
            <w:r>
              <w:t>+4.50%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FY2024 advertising fees of $224M on system-wide sales of $4.8B implies an ad fund rate of approximately 4.7%. We model 4.5% for FY2026, slightly below the FY2024 implied rate, reflecting the mix shift toward internationa</w:t>
            </w:r>
          </w:p>
        </w:tc>
      </w:tr>
      <w:tr>
        <w:tc>
          <w:tcPr>
            <w:tcW w:type="dxa" w:w="2448"/>
            <w:tcBorders>
              <w:top w:val="single" w:sz="4" w:color="BDC3C7"/>
              <w:bottom w:val="single" w:sz="4" w:color="BDC3C7"/>
              <w:left w:val="single" w:sz="4" w:color="BDC3C7"/>
              <w:right w:val="single" w:sz="4" w:color="BDC3C7"/>
            </w:tcBorders>
          </w:tcPr>
          <w:p>
            <w:r>
              <w:rPr>
                <w:b/>
              </w:rPr>
              <w:t>Company-Owned Restaurant Sales</w:t>
            </w:r>
          </w:p>
        </w:tc>
        <w:tc>
          <w:tcPr>
            <w:tcW w:type="dxa" w:w="2448"/>
            <w:tcBorders>
              <w:top w:val="single" w:sz="4" w:color="BDC3C7"/>
              <w:bottom w:val="single" w:sz="4" w:color="BDC3C7"/>
              <w:left w:val="single" w:sz="4" w:color="BDC3C7"/>
              <w:right w:val="single" w:sz="4" w:color="BDC3C7"/>
            </w:tcBorders>
          </w:tcPr>
          <w:p>
            <w:r>
              <w:rPr>
                <w:b/>
              </w:rPr>
              <w:t>+1.50%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company_owned_sss</w:t>
            </w:r>
          </w:p>
        </w:tc>
        <w:tc>
          <w:tcPr>
            <w:tcW w:type="dxa" w:w="2448"/>
            <w:tcBorders>
              <w:top w:val="single" w:sz="4" w:color="BDC3C7"/>
              <w:bottom w:val="single" w:sz="4" w:color="BDC3C7"/>
              <w:left w:val="single" w:sz="4" w:color="BDC3C7"/>
              <w:right w:val="single" w:sz="4" w:color="BDC3C7"/>
            </w:tcBorders>
          </w:tcPr>
          <w:p>
            <w:r>
              <w:t>+1.50%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Company-owned restaurants (approximately 50-56 stores, primarily in DFW) have consistently outperformed the system. Q4 2025 call noted 'company-owned same-store sales increased 1.6% in Q4' versus the system's -3% FY2025 </w:t>
            </w:r>
          </w:p>
        </w:tc>
      </w:tr>
      <w:tr>
        <w:tc>
          <w:tcPr>
            <w:tcW w:type="dxa" w:w="2448"/>
            <w:tcBorders>
              <w:top w:val="single" w:sz="4" w:color="BDC3C7"/>
              <w:bottom w:val="single" w:sz="4" w:color="BDC3C7"/>
              <w:left w:val="single" w:sz="4" w:color="BDC3C7"/>
              <w:right w:val="single" w:sz="4" w:color="BDC3C7"/>
            </w:tcBorders>
          </w:tcPr>
          <w:p>
            <w:r>
              <w:rPr>
                <w:b/>
              </w:rPr>
              <w:t>D&amp;A</w:t>
            </w:r>
          </w:p>
        </w:tc>
        <w:tc>
          <w:tcPr>
            <w:tcW w:type="dxa" w:w="2448"/>
            <w:tcBorders>
              <w:top w:val="single" w:sz="4" w:color="BDC3C7"/>
              <w:bottom w:val="single" w:sz="4" w:color="BDC3C7"/>
              <w:left w:val="single" w:sz="4" w:color="BDC3C7"/>
              <w:right w:val="single" w:sz="4" w:color="BDC3C7"/>
            </w:tcBorders>
          </w:tcPr>
          <w:p>
            <w:r>
              <w:rPr>
                <w:b/>
              </w:rPr>
              <w:t>+19.50%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da_step_up</w:t>
            </w:r>
          </w:p>
        </w:tc>
        <w:tc>
          <w:tcPr>
            <w:tcW w:type="dxa" w:w="2448"/>
            <w:tcBorders>
              <w:top w:val="single" w:sz="4" w:color="BDC3C7"/>
              <w:bottom w:val="single" w:sz="4" w:color="BDC3C7"/>
              <w:left w:val="single" w:sz="4" w:color="BDC3C7"/>
              <w:right w:val="single" w:sz="4" w:color="BDC3C7"/>
            </w:tcBorders>
          </w:tcPr>
          <w:p>
            <w:r>
              <w:t>+19.50%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Management guided FY2026 D&amp;A to 'approximately $30M' at the Q1 2026 call, consistent with the Q4 2025 guide of '$29-30M.' FY2025 actual D&amp;A was $25.1M per structured financials. $30M / $25.1M - 1 = 19.5% growth, driven b</w:t>
            </w:r>
          </w:p>
        </w:tc>
      </w:tr>
      <w:tr>
        <w:tc>
          <w:tcPr>
            <w:tcW w:type="dxa" w:w="2448"/>
            <w:tcBorders>
              <w:top w:val="single" w:sz="4" w:color="BDC3C7"/>
              <w:bottom w:val="single" w:sz="4" w:color="BDC3C7"/>
              <w:left w:val="single" w:sz="4" w:color="BDC3C7"/>
              <w:right w:val="single" w:sz="4" w:color="BDC3C7"/>
            </w:tcBorders>
          </w:tcPr>
          <w:p>
            <w:r>
              <w:rPr>
                <w:b/>
              </w:rPr>
              <w:t>Stock Compensation</w:t>
            </w:r>
          </w:p>
        </w:tc>
        <w:tc>
          <w:tcPr>
            <w:tcW w:type="dxa" w:w="2448"/>
            <w:tcBorders>
              <w:top w:val="single" w:sz="4" w:color="BDC3C7"/>
              <w:bottom w:val="single" w:sz="4" w:color="BDC3C7"/>
              <w:left w:val="single" w:sz="4" w:color="BDC3C7"/>
              <w:right w:val="single" w:sz="4" w:color="BDC3C7"/>
            </w:tcBorders>
          </w:tcPr>
          <w:p>
            <w:r>
              <w:rPr>
                <w:b/>
              </w:rPr>
              <w:t>+7.70%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stock_comp_increase</w:t>
            </w:r>
          </w:p>
        </w:tc>
        <w:tc>
          <w:tcPr>
            <w:tcW w:type="dxa" w:w="2448"/>
            <w:tcBorders>
              <w:top w:val="single" w:sz="4" w:color="BDC3C7"/>
              <w:bottom w:val="single" w:sz="4" w:color="BDC3C7"/>
              <w:left w:val="single" w:sz="4" w:color="BDC3C7"/>
              <w:right w:val="single" w:sz="4" w:color="BDC3C7"/>
            </w:tcBorders>
          </w:tcPr>
          <w:p>
            <w:r>
              <w:t>+7.70%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Management guided FY2026 stock-based compensation to '$28M' (included in the $146-149M SG&amp;A guide) at the Q1 2026 call. FY2025 guidance was 'approximately $26M' per the FY2024 filing. $28M / $26M - 1 = 7.7% growth.</w:t>
            </w:r>
          </w:p>
        </w:tc>
      </w:tr>
    </w:tbl>
    <w:p>
      <w:pPr>
        <w:pStyle w:val="SubHeading"/>
      </w:pPr>
      <w:r>
        <w:t>Bear revisions:</w:t>
      </w:r>
    </w:p>
    <w:p>
      <w:pPr>
        <w:pStyle w:val="ListBullet"/>
      </w:pPr>
      <w:r>
        <w:t>Domestic Same-Store Sales.traffic_growth: -3.5 → -5.5 — If the macro headwinds (consumer sentiment at 49.8, fuel prices, lower-income consumer stress) persist through 2H 2026 without the Smart Kitchen and Club Wingstop loyalty benefits materializing at scale, the underlying SSS trend of -4% to -5% (implied by Q1 2026 ex-weather) could persist for the full year, yielding a -5.5% traffic result and a full-year SSS of approximately -4.5%. This would reduce system-wide sales by an additional ~$150M versus our base case, cutting royalty+ad revenue by approximately $14M and EPS by approximately $0.37.</w:t>
      </w:r>
    </w:p>
    <w:p>
      <w:pPr>
        <w:pStyle w:val="ListBullet"/>
      </w:pPr>
      <w:r>
        <w:t>Global Net New Restaurants.domestic_net_new: 280 → 230 — If sustained SSS declines erode franchisee confidence and cash flows, some brand partners may delay or cancel committed openings. A 20% reduction in domestic net new restaurants (from 280 to 230) would reduce the royalty revenue contribution from new units by approximately $5-7M, reducing EPS by approximately $0.13.</w:t>
      </w:r>
    </w:p>
    <w:p>
      <w:pPr>
        <w:pStyle w:val="ListBullet"/>
      </w:pPr>
      <w:r>
        <w:rPr>
          <w:i/>
        </w:rPr>
        <w:t>→ Research [CONTRADICTS]: FY2024 ad fund rate was 5.3% (increased from 5.0% mid-year), not 3.5%. Blended rate would be 11.3% (6% royalty + 5.3% ad fund), not 9.5%. The brief understates the ad fund contribution by 180 basis points. (wingstop.com)</w:t>
      </w:r>
    </w:p>
    <w:p>
      <w:pPr>
        <w:pStyle w:val="SectionHeading"/>
      </w:pPr>
      <w:r>
        <w:t>3. Consensus Gap &amp; Valuation</w:t>
      </w:r>
    </w:p>
    <w:p>
      <w:r>
        <w:t>Our EPS: $4.12  =  baseline $4.57  +  Σ claim impacts $-0.44 (9.7% below consensus $4.57)</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$4.57</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$780M → $725M (Δ $-55M)</w:t>
            </w:r>
          </w:p>
        </w:tc>
        <w:tc>
          <w:tcPr>
            <w:tcW w:type="dxa" w:w="2448"/>
            <w:tcBorders>
              <w:top w:val="single" w:sz="4" w:color="BDC3C7"/>
              <w:bottom w:val="single" w:sz="4" w:color="BDC3C7"/>
              <w:left w:val="single" w:sz="4" w:color="BDC3C7"/>
              <w:right w:val="single" w:sz="4" w:color="BDC3C7"/>
            </w:tcBorders>
          </w:tcPr>
          <w:p>
            <w:r>
              <w:t>Revenue Δ $-55M × 31% incremental margin × 74% after-tax</w:t>
            </w:r>
          </w:p>
        </w:tc>
        <w:tc>
          <w:tcPr>
            <w:tcW w:type="dxa" w:w="2448"/>
            <w:tcBorders>
              <w:top w:val="single" w:sz="4" w:color="BDC3C7"/>
              <w:bottom w:val="single" w:sz="4" w:color="BDC3C7"/>
              <w:left w:val="single" w:sz="4" w:color="BDC3C7"/>
              <w:right w:val="single" w:sz="4" w:color="BDC3C7"/>
            </w:tcBorders>
          </w:tcPr>
          <w:p>
            <w:r>
              <w:t>-0.44</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-0.44</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$4.12</w:t>
            </w:r>
          </w:p>
        </w:tc>
      </w:tr>
    </w:tbl>
    <w:p>
      <w:pPr>
        <w:pStyle w:val="PullQuote"/>
      </w:pPr>
      <w:r>
        <w:t xml:space="preserve">  ⚠ 1 claim(s) target a different fiscal period than the current_fy baseline and weren't summed: consensus_next_fy_eps</w:t>
      </w:r>
    </w:p>
    <w:p>
      <w:r>
        <w:t>Our estimate is $0.44 (9.7%) below consensus $4.57. Primary driver: Royalty Rate.blended_royalty_rate (ours +6.0 vs street +10.2, contributing $-2.604 to EPS variant, evidence: strong). Variant appears NOT fully priced in based on available market data. Next catalyst: Next quarterly earnings report (2026-07-29 (37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Royalty Rate.blended_royalty_rate</w:t>
            </w:r>
          </w:p>
        </w:tc>
        <w:tc>
          <w:tcPr>
            <w:tcW w:type="dxa" w:w="1958"/>
            <w:tcBorders>
              <w:top w:val="single" w:sz="4" w:color="BDC3C7"/>
              <w:bottom w:val="single" w:sz="4" w:color="BDC3C7"/>
              <w:left w:val="single" w:sz="4" w:color="BDC3C7"/>
              <w:right w:val="single" w:sz="4" w:color="BDC3C7"/>
            </w:tcBorders>
          </w:tcPr>
          <w:p>
            <w:r>
              <w:t>+6.00</w:t>
            </w:r>
          </w:p>
        </w:tc>
        <w:tc>
          <w:tcPr>
            <w:tcW w:type="dxa" w:w="1958"/>
            <w:tcBorders>
              <w:top w:val="single" w:sz="4" w:color="BDC3C7"/>
              <w:bottom w:val="single" w:sz="4" w:color="BDC3C7"/>
              <w:left w:val="single" w:sz="4" w:color="BDC3C7"/>
              <w:right w:val="single" w:sz="4" w:color="BDC3C7"/>
            </w:tcBorders>
          </w:tcPr>
          <w:p>
            <w:r>
              <w:t>+10.20</w:t>
            </w:r>
          </w:p>
        </w:tc>
        <w:tc>
          <w:tcPr>
            <w:tcW w:type="dxa" w:w="1958"/>
            <w:tcBorders>
              <w:top w:val="single" w:sz="4" w:color="BDC3C7"/>
              <w:bottom w:val="single" w:sz="4" w:color="BDC3C7"/>
              <w:left w:val="single" w:sz="4" w:color="BDC3C7"/>
              <w:right w:val="single" w:sz="4" w:color="BDC3C7"/>
            </w:tcBorders>
          </w:tcPr>
          <w:p>
            <w:r>
              <w:t>-2.604</w:t>
            </w:r>
          </w:p>
        </w:tc>
        <w:tc>
          <w:tcPr>
            <w:tcW w:type="dxa" w:w="1958"/>
            <w:tcBorders>
              <w:top w:val="single" w:sz="4" w:color="BDC3C7"/>
              <w:bottom w:val="single" w:sz="4" w:color="BDC3C7"/>
              <w:left w:val="single" w:sz="4" w:color="BDC3C7"/>
              <w:right w:val="single" w:sz="4" w:color="BDC3C7"/>
            </w:tcBorders>
          </w:tcPr>
          <w:p>
            <w:r>
              <w:t>0.75</w:t>
            </w:r>
          </w:p>
        </w:tc>
      </w:tr>
      <w:tr>
        <w:tc>
          <w:tcPr>
            <w:tcW w:type="dxa" w:w="1958"/>
            <w:tcBorders>
              <w:top w:val="single" w:sz="4" w:color="BDC3C7"/>
              <w:bottom w:val="single" w:sz="4" w:color="BDC3C7"/>
              <w:left w:val="single" w:sz="4" w:color="BDC3C7"/>
              <w:right w:val="single" w:sz="4" w:color="BDC3C7"/>
            </w:tcBorders>
          </w:tcPr>
          <w:p>
            <w:r>
              <w:t>Ad Fund Rate.blended_ad_fund_rate</w:t>
            </w:r>
          </w:p>
        </w:tc>
        <w:tc>
          <w:tcPr>
            <w:tcW w:type="dxa" w:w="1958"/>
            <w:tcBorders>
              <w:top w:val="single" w:sz="4" w:color="BDC3C7"/>
              <w:bottom w:val="single" w:sz="4" w:color="BDC3C7"/>
              <w:left w:val="single" w:sz="4" w:color="BDC3C7"/>
              <w:right w:val="single" w:sz="4" w:color="BDC3C7"/>
            </w:tcBorders>
          </w:tcPr>
          <w:p>
            <w:r>
              <w:t>+4.50</w:t>
            </w:r>
          </w:p>
        </w:tc>
        <w:tc>
          <w:tcPr>
            <w:tcW w:type="dxa" w:w="1958"/>
            <w:tcBorders>
              <w:top w:val="single" w:sz="4" w:color="BDC3C7"/>
              <w:bottom w:val="single" w:sz="4" w:color="BDC3C7"/>
              <w:left w:val="single" w:sz="4" w:color="BDC3C7"/>
              <w:right w:val="single" w:sz="4" w:color="BDC3C7"/>
            </w:tcBorders>
          </w:tcPr>
          <w:p>
            <w:r>
              <w:t>+8.70</w:t>
            </w:r>
          </w:p>
        </w:tc>
        <w:tc>
          <w:tcPr>
            <w:tcW w:type="dxa" w:w="1958"/>
            <w:tcBorders>
              <w:top w:val="single" w:sz="4" w:color="BDC3C7"/>
              <w:bottom w:val="single" w:sz="4" w:color="BDC3C7"/>
              <w:left w:val="single" w:sz="4" w:color="BDC3C7"/>
              <w:right w:val="single" w:sz="4" w:color="BDC3C7"/>
            </w:tcBorders>
          </w:tcPr>
          <w:p>
            <w:r>
              <w:t>-2.604</w:t>
            </w:r>
          </w:p>
        </w:tc>
        <w:tc>
          <w:tcPr>
            <w:tcW w:type="dxa" w:w="1958"/>
            <w:tcBorders>
              <w:top w:val="single" w:sz="4" w:color="BDC3C7"/>
              <w:bottom w:val="single" w:sz="4" w:color="BDC3C7"/>
              <w:left w:val="single" w:sz="4" w:color="BDC3C7"/>
              <w:right w:val="single" w:sz="4" w:color="BDC3C7"/>
            </w:tcBorders>
          </w:tcPr>
          <w:p>
            <w:r>
              <w:t>0.70</w:t>
            </w:r>
          </w:p>
        </w:tc>
      </w:tr>
      <w:tr>
        <w:tc>
          <w:tcPr>
            <w:tcW w:type="dxa" w:w="1958"/>
            <w:tcBorders>
              <w:top w:val="single" w:sz="4" w:color="BDC3C7"/>
              <w:bottom w:val="single" w:sz="4" w:color="BDC3C7"/>
              <w:left w:val="single" w:sz="4" w:color="BDC3C7"/>
              <w:right w:val="single" w:sz="4" w:color="BDC3C7"/>
            </w:tcBorders>
          </w:tcPr>
          <w:p>
            <w:r>
              <w:t>Domestic Same-Store Sales.traffic_growth</w:t>
            </w:r>
          </w:p>
        </w:tc>
        <w:tc>
          <w:tcPr>
            <w:tcW w:type="dxa" w:w="1958"/>
            <w:tcBorders>
              <w:top w:val="single" w:sz="4" w:color="BDC3C7"/>
              <w:bottom w:val="single" w:sz="4" w:color="BDC3C7"/>
              <w:left w:val="single" w:sz="4" w:color="BDC3C7"/>
              <w:right w:val="single" w:sz="4" w:color="BDC3C7"/>
            </w:tcBorders>
          </w:tcPr>
          <w:p>
            <w:r>
              <w:t>-4.90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Domestic Same-Store Sales.ticket_growth</w:t>
            </w:r>
          </w:p>
        </w:tc>
        <w:tc>
          <w:tcPr>
            <w:tcW w:type="dxa" w:w="1958"/>
            <w:tcBorders>
              <w:top w:val="single" w:sz="4" w:color="BDC3C7"/>
              <w:bottom w:val="single" w:sz="4" w:color="BDC3C7"/>
              <w:left w:val="single" w:sz="4" w:color="BDC3C7"/>
              <w:right w:val="single" w:sz="4" w:color="BDC3C7"/>
            </w:tcBorders>
          </w:tcPr>
          <w:p>
            <w:r>
              <w:t>+1.00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0.30</w:t>
            </w:r>
          </w:p>
        </w:tc>
      </w:tr>
      <w:tr>
        <w:tc>
          <w:tcPr>
            <w:tcW w:type="dxa" w:w="1958"/>
            <w:tcBorders>
              <w:top w:val="single" w:sz="4" w:color="BDC3C7"/>
              <w:bottom w:val="single" w:sz="4" w:color="BDC3C7"/>
              <w:left w:val="single" w:sz="4" w:color="BDC3C7"/>
              <w:right w:val="single" w:sz="4" w:color="BDC3C7"/>
            </w:tcBorders>
          </w:tcPr>
          <w:p>
            <w:r>
              <w:t>Global Net New Restaurants.domestic_net_new</w:t>
            </w:r>
          </w:p>
        </w:tc>
        <w:tc>
          <w:tcPr>
            <w:tcW w:type="dxa" w:w="1958"/>
            <w:tcBorders>
              <w:top w:val="single" w:sz="4" w:color="BDC3C7"/>
              <w:bottom w:val="single" w:sz="4" w:color="BDC3C7"/>
              <w:left w:val="single" w:sz="4" w:color="BDC3C7"/>
              <w:right w:val="single" w:sz="4" w:color="BDC3C7"/>
            </w:tcBorders>
          </w:tcPr>
          <w:p>
            <w:r>
              <w:t>+230.00</w:t>
            </w:r>
          </w:p>
        </w:tc>
        <w:tc>
          <w:tcPr>
            <w:tcW w:type="dxa" w:w="1958"/>
            <w:tcBorders>
              <w:top w:val="single" w:sz="4" w:color="BDC3C7"/>
              <w:bottom w:val="single" w:sz="4" w:color="BDC3C7"/>
              <w:left w:val="single" w:sz="4" w:color="BDC3C7"/>
              <w:right w:val="single" w:sz="4" w:color="BDC3C7"/>
            </w:tcBorders>
          </w:tcPr>
          <w:p>
            <w:r>
              <w:t>+230.00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Global Net New Restaurants.international_net_new</w:t>
            </w:r>
          </w:p>
        </w:tc>
        <w:tc>
          <w:tcPr>
            <w:tcW w:type="dxa" w:w="1958"/>
            <w:tcBorders>
              <w:top w:val="single" w:sz="4" w:color="BDC3C7"/>
              <w:bottom w:val="single" w:sz="4" w:color="BDC3C7"/>
              <w:left w:val="single" w:sz="4" w:color="BDC3C7"/>
              <w:right w:val="single" w:sz="4" w:color="BDC3C7"/>
            </w:tcBorders>
          </w:tcPr>
          <w:p>
            <w:r>
              <w:t>+155.00</w:t>
            </w:r>
          </w:p>
        </w:tc>
        <w:tc>
          <w:tcPr>
            <w:tcW w:type="dxa" w:w="1958"/>
            <w:tcBorders>
              <w:top w:val="single" w:sz="4" w:color="BDC3C7"/>
              <w:bottom w:val="single" w:sz="4" w:color="BDC3C7"/>
              <w:left w:val="single" w:sz="4" w:color="BDC3C7"/>
              <w:right w:val="single" w:sz="4" w:color="BDC3C7"/>
            </w:tcBorders>
          </w:tcPr>
          <w:p>
            <w:r>
              <w:t>+155.00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Company-Owned Restaurant Sales.company_owned_sss</w:t>
            </w:r>
          </w:p>
        </w:tc>
        <w:tc>
          <w:tcPr>
            <w:tcW w:type="dxa" w:w="1958"/>
            <w:tcBorders>
              <w:top w:val="single" w:sz="4" w:color="BDC3C7"/>
              <w:bottom w:val="single" w:sz="4" w:color="BDC3C7"/>
              <w:left w:val="single" w:sz="4" w:color="BDC3C7"/>
              <w:right w:val="single" w:sz="4" w:color="BDC3C7"/>
            </w:tcBorders>
          </w:tcPr>
          <w:p>
            <w:r>
              <w:t>+1.50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D&amp;A.da_step_up</w:t>
            </w:r>
          </w:p>
        </w:tc>
        <w:tc>
          <w:tcPr>
            <w:tcW w:type="dxa" w:w="1958"/>
            <w:tcBorders>
              <w:top w:val="single" w:sz="4" w:color="BDC3C7"/>
              <w:bottom w:val="single" w:sz="4" w:color="BDC3C7"/>
              <w:left w:val="single" w:sz="4" w:color="BDC3C7"/>
              <w:right w:val="single" w:sz="4" w:color="BDC3C7"/>
            </w:tcBorders>
          </w:tcPr>
          <w:p>
            <w:r>
              <w:t>+19.50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0.75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(-9.7%) exceeds implied move (4.6%). Short interest 19.5% neutral</w:t>
      </w:r>
    </w:p>
    <w:p>
      <w:r>
        <w:t>Edge verdict: ACTIONABLE_EDGE (score 0.286).</w:t>
      </w:r>
    </w:p>
    <w:p>
      <w:pPr>
        <w:pStyle w:val="SectionHeading"/>
      </w:pPr>
      <w:r>
        <w:t>4. Catalysts</w:t>
      </w:r>
    </w:p>
    <w:p>
      <w:pPr>
        <w:pStyle w:val="ListBullet"/>
      </w:pPr>
      <w:r>
        <w:t>Next quarterly earnings report (2026-07-29 (37 days)) — resolves revenue + margins + guidance; confirms or challenges</w:t>
      </w:r>
    </w:p>
    <w:p>
      <w:pPr>
        <w:pStyle w:val="ListBullet"/>
      </w:pPr>
      <w:r>
        <w:t>Resolution: Smart Kitchen and Club Wingstop loyalty will drive 2H 2026 SSS recovery to posit (Multi-year thesis -- patience required) — resolves Domestic Same-Store Sales; confirms or challenges</w:t>
      </w:r>
    </w:p>
    <w:p>
      <w:pPr>
        <w:pStyle w:val="ListBullet"/>
      </w:pPr>
      <w:r>
        <w:t>Resolution: Unit growth at 15-16% is sustainable and will compound the royalty revenue base  (Multi-year thesis -- patience required) — resolves Global Net New Restaurants; confirms or challenges</w:t>
      </w:r>
    </w:p>
    <w:p>
      <w:pPr>
        <w:pStyle w:val="ListBullet"/>
      </w:pPr>
      <w:r>
        <w:t>Resolution: SG&amp;A leverage will improve as revenue grows, supporting margin expansion (Multi-year thesis -- patience required) — resolves SG&amp;A; confirms or challenges</w:t>
      </w:r>
    </w:p>
    <w:p>
      <w:pPr>
        <w:pStyle w:val="ListBullet"/>
      </w:pPr>
      <w:r>
        <w:t>Q2 2026 domestic SSS trend (not yet reported as of June 22, 2026) — this is the single most importan (Unknown timing) — resolves multiple; resolves uncertainty</w:t>
      </w:r>
    </w:p>
    <w:p>
      <w:pPr>
        <w:pStyle w:val="ListBullet"/>
      </w:pPr>
      <w:r>
        <w:t>Club Wingstop national loyalty launch metrics — management has not disclosed member counts, redempti (Unknown timing) — resolves multiple; resolves uncertainty</w:t>
      </w:r>
    </w:p>
    <w:p>
      <w:pPr>
        <w:pStyle w:val="SectionHeading"/>
      </w:pPr>
      <w:r>
        <w:t>5. Risks, Blind Spots &amp; Kill Criteria</w:t>
      </w:r>
    </w:p>
    <w:p>
      <w:pPr>
        <w:pStyle w:val="SubHeading"/>
      </w:pPr>
      <w:r>
        <w:t>Top risks:</w:t>
      </w:r>
    </w:p>
    <w:p>
      <w:pPr>
        <w:pStyle w:val="ListBullet"/>
      </w:pPr>
      <w:r>
        <w:t>Smart Kitchen and Club Wingstop loyalty will drive 2H 2026 SSS recovery to positive territory, validating the 'flat to low single-digit decline' full-year guide — counter: Q1 2026 SSS of -8.7% was far worse than the original 'flat to low single-digit growth' guide, and management's attribution of ~4pp to weather/gas implies an underlying trend of -4% to -5%. Consumer sentiment is at 49.8 (U. of Michigan, April 2026), down 4.6% YoY, and the personal saving rate is 2.6%, down 52.7% YoY — structural headwinds that are not weather-related. The Smart Kitchen benefit (mid-single-digit SSS delta in Southwest) has been visible for multiple quarters but has not prevented system-wide SSS deterioration, suggesting the macro headwind is overwhelming the operational improvement. [serious]</w:t>
      </w:r>
    </w:p>
    <w:p>
      <w:pPr>
        <w:pStyle w:val="ListBullet2"/>
      </w:pPr>
      <w:r>
        <w:rPr>
          <w:i/>
        </w:rPr>
        <w:t>→ Research: Club Wingstop launched May 28, 2026 (not mid-2H as thesis implies). Pilot data showed improvements in retention, reactivation, and frequency. No membership numbers disclosed; launch cadence is national rollout, not phased. (wingstop.com)</w:t>
      </w:r>
    </w:p>
    <w:p>
      <w:pPr>
        <w:pStyle w:val="ListBullet"/>
      </w:pPr>
      <w:r>
        <w:t>Unit growth at 15-16% is sustainable and will compound the royalty revenue base regardless of SSS — counter: Q3 2025 call noted cannibalization of approximately 1pp from new restaurant openings, and the lapping of high-honeymoon-period openings in new markets is creating a near-term SSS drag. If franchisee profitability deteriorates further due to sustained SSS declines, the record pipeline could slow as brand partners reassess expansion economics — though the 70%+ cash-on-cash returns provide a significant buffer. [moderate]</w:t>
      </w:r>
    </w:p>
    <w:p>
      <w:pPr>
        <w:pStyle w:val="ListBullet"/>
      </w:pPr>
      <w:r>
        <w:t>SG&amp;A leverage will improve as revenue grows, supporting margin expansion — counter: SG&amp;A is growing faster than revenue: FY2025 SG&amp;A of $128.4M on $696.9M revenue (18.4%) is guided to $147.5M midpoint on our modeled $725M revenue (20.3%) — a 190bps deleverage. The restructuring charge ($3M) and stock comp increase ($28M vs $26M) are partially non-recurring, but the headcount investments to support growth are structural. The Q4 2025 call noted 'SG&amp;A increased $2.1 million versus the prior year comparable period to $33.3 million in the fourth quarter of 2025, driven primarily by headcount-related investments to support the growth and scale of the business.' [moderate]</w:t>
      </w:r>
    </w:p>
    <w:p>
      <w:pPr>
        <w:pStyle w:val="KillCriteria"/>
      </w:pPr>
      <w:r>
        <w:t>What would change our mind: Print on Royalty Rate.blended_royalty_rate comes in above our +6.0 figure (toward street +10.2) in the next 1-2 prints.</w:t>
      </w:r>
    </w:p>
    <w:p>
      <w:pPr>
        <w:pStyle w:val="SectionHeading"/>
      </w:pPr>
      <w:r>
        <w:t>Appendix</w:t>
      </w:r>
    </w:p>
    <w:p>
      <w:pPr>
        <w:pStyle w:val="SubHeading"/>
      </w:pPr>
      <w:r>
        <w:t>Evidence gaps (research TODO):</w:t>
      </w:r>
    </w:p>
    <w:p>
      <w:pPr>
        <w:pStyle w:val="ListBullet"/>
      </w:pPr>
      <w:r>
        <w:t>Q2 2026 domestic SSS trend (not yet reported as of June 22, 2026) — this is the single most important data point to validate or refute the 2H recovery thesis; Q2 2026 earnings expected approximately late July/early August 2026</w:t>
      </w:r>
    </w:p>
    <w:p>
      <w:pPr>
        <w:pStyle w:val="ListBullet"/>
      </w:pPr>
      <w:r>
        <w:t>Club Wingstop national loyalty launch metrics — management has not disclosed member counts, redemption rates, or incremental visit frequency data; these are critical to sizing the 2H SSS recovery</w:t>
      </w:r>
    </w:p>
    <w:p>
      <w:pPr>
        <w:pStyle w:val="ListBullet"/>
      </w:pPr>
      <w:r>
        <w:t>Specific wing commodity cost outlook for 2H 2026 — PPI is +13.1% YoY, but management's supply chain strategy provides forward visibility; the degree of hedging and the duration of cost protection is not publicly disclosed</w:t>
      </w:r>
    </w:p>
    <w:p>
      <w:pPr>
        <w:pStyle w:val="ListBullet"/>
      </w:pPr>
      <w:r>
        <w:t>International AUV and SSS data — management does not break out international SSS separately; given international is growing to ~15-20% of system, this is an increasingly material gap</w:t>
      </w:r>
    </w:p>
    <w:p>
      <w:pPr>
        <w:pStyle w:val="ListBullet"/>
      </w:pPr>
      <w:r>
        <w:t>Franchisee health metrics — franchisee-level P&amp;L data (food costs, labor costs, rent) is not publicly disclosed; the 70%+ cash-on-cash return claim is based on management's representation and cannot be independently verified from public filings</w:t>
      </w:r>
    </w:p>
    <w:p>
      <w:pPr>
        <w:pStyle w:val="ListBullet"/>
      </w:pPr>
      <w:r>
        <w:t>Short interest data as of June 2026 — the 20% of float short interest figure from the ownership structure block may be stale; current short interest would help size the squeeze risk if SSS recovers</w:t>
      </w:r>
    </w:p>
    <w:p>
      <w:pPr>
        <w:pStyle w:val="ListBullet"/>
      </w:pPr>
      <w:r>
        <w:t>Specific menu price increase data for FY2026 — management has not disclosed the magnitude of any price increases taken in 2026, making the ticket growth assumption speculative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