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APP — APP</w:t>
      </w:r>
    </w:p>
    <w:p>
      <w:pPr>
        <w:pStyle w:val="SmallMeta"/>
      </w:pPr>
      <w:r>
        <w:t>As of 2026-05-04  |  Schema: general  |  Data: polygon+alpha_vantage (FY2025)</w:t>
      </w:r>
    </w:p>
    <w:p>
      <w:pPr>
        <w:pStyle w:val="SubHeading"/>
      </w:pPr>
      <w:r>
        <w:rPr>
          <w:color w:val="8C1D40"/>
        </w:rPr>
        <w:t>Direction: LONG | Current: $475.00</w:t>
      </w:r>
    </w:p>
    <w:p>
      <w:pPr>
        <w:pStyle w:val="SubHeading"/>
      </w:pPr>
      <w:r>
        <w:t>Summary</w:t>
      </w:r>
    </w:p>
    <w:p>
      <w:pPr>
        <w:pStyle w:val="ListBullet"/>
      </w:pPr>
      <w:r>
        <w:t>Thesis: Consensus FY2026 revenue of $8.055B appears achievable but Q1 2026 guide implies material deceleration that consensus hasn't fully absorbed, while e-commerce expansion faces structural headwinds from Meta data access restrictions.</w:t>
      </w:r>
    </w:p>
    <w:p>
      <w:pPr>
        <w:pStyle w:val="ListBullet"/>
      </w:pPr>
      <w:r>
        <w:t>Next catalyst: Next quarterly earnings report (2026-05-06 (2 days))</w:t>
      </w:r>
    </w:p>
    <w:p>
      <w:pPr>
        <w:pStyle w:val="ListBullet"/>
      </w:pPr>
      <w:r>
        <w:t>Top risk: E-commerce expansion provides sustainable long-term growth driver</w:t>
      </w:r>
    </w:p>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$3.45</w:t>
            </w:r>
          </w:p>
        </w:tc>
        <w:tc>
          <w:tcPr>
            <w:tcW w:type="dxa" w:w="1399"/>
            <w:tcBorders>
              <w:top w:val="single" w:sz="4" w:color="BDC3C7"/>
              <w:bottom w:val="single" w:sz="4" w:color="BDC3C7"/>
              <w:left w:val="single" w:sz="4" w:color="BDC3C7"/>
              <w:right w:val="single" w:sz="4" w:color="BDC3C7"/>
            </w:tcBorders>
          </w:tcPr>
          <w:p>
            <w:r>
              <w:t>$3.15 – $3.76</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+106.8%</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$3.69</w:t>
            </w:r>
          </w:p>
        </w:tc>
        <w:tc>
          <w:tcPr>
            <w:tcW w:type="dxa" w:w="1399"/>
            <w:tcBorders>
              <w:top w:val="single" w:sz="4" w:color="BDC3C7"/>
              <w:bottom w:val="single" w:sz="4" w:color="BDC3C7"/>
              <w:left w:val="single" w:sz="4" w:color="BDC3C7"/>
              <w:right w:val="single" w:sz="4" w:color="BDC3C7"/>
            </w:tcBorders>
          </w:tcPr>
          <w:p>
            <w:r>
              <w:t>$3.35 – $4.05</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+54.2%</w:t>
            </w:r>
          </w:p>
        </w:tc>
        <w:tc>
          <w:tcPr>
            <w:tcW w:type="dxa" w:w="1399"/>
            <w:tcBorders>
              <w:top w:val="single" w:sz="4" w:color="BDC3C7"/>
              <w:bottom w:val="single" w:sz="4" w:color="BDC3C7"/>
              <w:left w:val="single" w:sz="4" w:color="BDC3C7"/>
              <w:right w:val="single" w:sz="4" w:color="BDC3C7"/>
            </w:tcBorders>
          </w:tcPr>
          <w:p>
            <w:r>
              <w:t>↑ +0.018</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$15.81</w:t>
            </w:r>
          </w:p>
        </w:tc>
        <w:tc>
          <w:tcPr>
            <w:tcW w:type="dxa" w:w="1399"/>
            <w:tcBorders>
              <w:top w:val="single" w:sz="4" w:color="BDC3C7"/>
              <w:bottom w:val="single" w:sz="4" w:color="BDC3C7"/>
              <w:left w:val="single" w:sz="4" w:color="BDC3C7"/>
              <w:right w:val="single" w:sz="4" w:color="BDC3C7"/>
            </w:tcBorders>
          </w:tcPr>
          <w:p>
            <w:r>
              <w:t>$14.32 – $17.62</w:t>
            </w:r>
          </w:p>
        </w:tc>
        <w:tc>
          <w:tcPr>
            <w:tcW w:type="dxa" w:w="1399"/>
            <w:tcBorders>
              <w:top w:val="single" w:sz="4" w:color="BDC3C7"/>
              <w:bottom w:val="single" w:sz="4" w:color="BDC3C7"/>
              <w:left w:val="single" w:sz="4" w:color="BDC3C7"/>
              <w:right w:val="single" w:sz="4" w:color="BDC3C7"/>
            </w:tcBorders>
          </w:tcPr>
          <w:p>
            <w:r>
              <w:t>23</w:t>
            </w:r>
          </w:p>
        </w:tc>
        <w:tc>
          <w:tcPr>
            <w:tcW w:type="dxa" w:w="1399"/>
            <w:tcBorders>
              <w:top w:val="single" w:sz="4" w:color="BDC3C7"/>
              <w:bottom w:val="single" w:sz="4" w:color="BDC3C7"/>
              <w:left w:val="single" w:sz="4" w:color="BDC3C7"/>
              <w:right w:val="single" w:sz="4" w:color="BDC3C7"/>
            </w:tcBorders>
          </w:tcPr>
          <w:p>
            <w:r>
              <w:t>+62.2%</w:t>
            </w:r>
          </w:p>
        </w:tc>
        <w:tc>
          <w:tcPr>
            <w:tcW w:type="dxa" w:w="1399"/>
            <w:tcBorders>
              <w:top w:val="single" w:sz="4" w:color="BDC3C7"/>
              <w:bottom w:val="single" w:sz="4" w:color="BDC3C7"/>
              <w:left w:val="single" w:sz="4" w:color="BDC3C7"/>
              <w:right w:val="single" w:sz="4" w:color="BDC3C7"/>
            </w:tcBorders>
          </w:tcPr>
          <w:p>
            <w:r>
              <w:t>↑ +0.076</w:t>
            </w:r>
          </w:p>
        </w:tc>
        <w:tc>
          <w:tcPr>
            <w:tcW w:type="dxa" w:w="1399"/>
            <w:tcBorders>
              <w:top w:val="single" w:sz="4" w:color="BDC3C7"/>
              <w:bottom w:val="single" w:sz="4" w:color="BDC3C7"/>
              <w:left w:val="single" w:sz="4" w:color="BDC3C7"/>
              <w:right w:val="single" w:sz="4" w:color="BDC3C7"/>
            </w:tcBorders>
          </w:tcPr>
          <w:p>
            <w:r>
              <w:t>↑5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$20.71</w:t>
            </w:r>
          </w:p>
        </w:tc>
        <w:tc>
          <w:tcPr>
            <w:tcW w:type="dxa" w:w="1399"/>
            <w:tcBorders>
              <w:top w:val="single" w:sz="4" w:color="BDC3C7"/>
              <w:bottom w:val="single" w:sz="4" w:color="BDC3C7"/>
              <w:left w:val="single" w:sz="4" w:color="BDC3C7"/>
              <w:right w:val="single" w:sz="4" w:color="BDC3C7"/>
            </w:tcBorders>
          </w:tcPr>
          <w:p>
            <w:r>
              <w:t>$15.72 – $23.75</w:t>
            </w:r>
          </w:p>
        </w:tc>
        <w:tc>
          <w:tcPr>
            <w:tcW w:type="dxa" w:w="1399"/>
            <w:tcBorders>
              <w:top w:val="single" w:sz="4" w:color="BDC3C7"/>
              <w:bottom w:val="single" w:sz="4" w:color="BDC3C7"/>
              <w:left w:val="single" w:sz="4" w:color="BDC3C7"/>
              <w:right w:val="single" w:sz="4" w:color="BDC3C7"/>
            </w:tcBorders>
          </w:tcPr>
          <w:p>
            <w:r>
              <w:t>24</w:t>
            </w:r>
          </w:p>
        </w:tc>
        <w:tc>
          <w:tcPr>
            <w:tcW w:type="dxa" w:w="1399"/>
            <w:tcBorders>
              <w:top w:val="single" w:sz="4" w:color="BDC3C7"/>
              <w:bottom w:val="single" w:sz="4" w:color="BDC3C7"/>
              <w:left w:val="single" w:sz="4" w:color="BDC3C7"/>
              <w:right w:val="single" w:sz="4" w:color="BDC3C7"/>
            </w:tcBorders>
          </w:tcPr>
          <w:p>
            <w:r>
              <w:t>+31.0%</w:t>
            </w:r>
          </w:p>
        </w:tc>
        <w:tc>
          <w:tcPr>
            <w:tcW w:type="dxa" w:w="1399"/>
            <w:tcBorders>
              <w:top w:val="single" w:sz="4" w:color="BDC3C7"/>
              <w:bottom w:val="single" w:sz="4" w:color="BDC3C7"/>
              <w:left w:val="single" w:sz="4" w:color="BDC3C7"/>
              <w:right w:val="single" w:sz="4" w:color="BDC3C7"/>
            </w:tcBorders>
          </w:tcPr>
          <w:p>
            <w:r>
              <w:t>↑ +0.276</w:t>
            </w:r>
          </w:p>
        </w:tc>
        <w:tc>
          <w:tcPr>
            <w:tcW w:type="dxa" w:w="1399"/>
            <w:tcBorders>
              <w:top w:val="single" w:sz="4" w:color="BDC3C7"/>
              <w:bottom w:val="single" w:sz="4" w:color="BDC3C7"/>
              <w:left w:val="single" w:sz="4" w:color="BDC3C7"/>
              <w:right w:val="single" w:sz="4" w:color="BDC3C7"/>
            </w:tcBorders>
          </w:tcPr>
          <w:p>
            <w:r>
              <w:t>↑4 / ↓0</w:t>
            </w:r>
          </w:p>
        </w:tc>
      </w:tr>
    </w:tbl>
    <w:p>
      <w:r>
        <w:t>Revenue consensus: Q $1.78B (+19.6%)  |  Q+1 $1.90B (+50.7%)  |  FY $8.06B (+47.0%)  |  FY+1 $10.43B (+29.5%)</w:t>
      </w:r>
    </w:p>
    <w:p>
      <w:r>
        <w:t>Price targets: Mean $639.36  |  Median $647.00  |  Range $340.00–$860.00  |  Current $473.93 (+34.9% to mean)</w:t>
      </w:r>
    </w:p>
    <w:p>
      <w:r>
        <w:t>Analyst ratings (n=30): Strong Buy 6 · Buy 20 · Hold 4 · Sell 0 · Strong Sell 0  ·  87% bullish</w:t>
      </w:r>
    </w:p>
    <w:p>
      <w:r>
        <w:t>Next earnings: 2026-05-06 (2d out)  ·  EPS $3.64 ($3.53–$3.74)  ·  Rev $1.78B</w:t>
      </w:r>
    </w:p>
    <w:p>
      <w:pPr>
        <w:pStyle w:val="SectionHeading"/>
      </w:pPr>
      <w:r>
        <w:t>1. Research Synthesis</w:t>
      </w:r>
    </w:p>
    <w:p>
      <w:r>
        <w:t>AppLovin delivered exceptional Q4 2025 results with revenue of $1.658B (+66% YoY) and 84% adjusted EBITDA margins, but the Q1 2026 guidance of $1.745-1.775B reveals a concerning sequential trajectory that consensus hasn't fully absorbed. The Q1 guide midpoint of $1.760B represents a -6.1% sequential decline from Q4's $1.658B. While seasonal patterns in advertising are normal, this sequential drop appears steeper than historical norms for the company's core gaming business, which CEO Adam Foroughi has consistently described as having 'double-digit growth' in supply even outside seasonal effects.</w:t>
      </w:r>
    </w:p>
    <w:p>
      <w:r>
        <w:t>The guidance deceleration becomes more pronounced when examining the implied growth trajectory for the full year. To reach consensus FY2026 revenue of $8.055B from the Q1 guide midpoint, AppLovin would need to average $2.098B per quarter in Q2-Q4, representing 19% sequential growth from Q1 - a pattern that would require unprecedented acceleration in the back half. Management's historical guidance philosophy has been conservative, with CFO Matt Stumpf noting in the Q2 2025 call that they typically guide to 'the component of growth that we feel very confident in, that's very predictable,' primarily the 3-5% quarterly reinforcement learning improvements in their AXON model. The Q1 guide's conservatism suggests management sees limited visibility into the step-function improvements that drove 2025's outperformance.</w:t>
      </w:r>
    </w:p>
    <w:p>
      <w:pPr>
        <w:pStyle w:val="PullQuote"/>
      </w:pPr>
      <w:r>
        <w:t>Counter: the analyst claims Q1 2026 guide implies material deceleration that consensus hasn't absorbed — but The sequential decline in Q1 2026 guidance is actually smaller than historical Q1 seasonal patterns, and at midpoint of $1,760M would represent 18.6% YoY growth - still robust by most standards. The 'deceleration' narrative appears manufactured.</w:t>
      </w:r>
    </w:p>
    <w:p>
      <w:r>
        <w:t>The e-commerce expansion, while promising, faces structural challenges that consensus appears to underweight. In the Q4 2025 call, Foroughi disclosed that e-commerce advertisers are seeing 'material increases in spend as our models just keep getting better,' but notably avoided quantifying the contribution despite analyst pressure. More concerning, when pressed about Meta's increased bidding activity on the platform, Foroughi's response revealed a defensive posture: 'Meta was a launch partner of Max... They are a bidder on anything that has an ID today, and they're not a bidder on anything that does not have an ID.' This suggests AppLovin's e-commerce success may depend on accessing user data that Meta doesn't bid on - precisely the 'copying Meta's data' mechanism alleged by Fuzzy Panda Research in their short report.</w:t>
      </w:r>
    </w:p>
    <w:p>
      <w:r>
        <w:t>The short-seller allegations, while unproven, raise material questions about business sustainability. Fuzzy Panda's core claim that AppLovin's e-commerce performance relies on 'copying META's data' aligns with management's own admission that Meta only bids on traffic with IDs, while AppLovin processes significant no-ID traffic. If Meta restricts this data arbitrage - either through technical changes or competitive bidding expansion - AppLovin's e-commerce CPMs could face pressure. Culper Research's additional allegations about undisclosed business relationships and manipulative install tactics, while harder to verify, contribute to regulatory risk in an environment of 'heightened scrutiny around data, privacy, and ad tech practices' that Foroughi acknowledged in the Q3 2025 call.</w:t>
      </w:r>
    </w:p>
    <w:p>
      <w:r>
        <w:t>Margin sustainability also presents questions despite the impressive 84% adjusted EBITDA margins in Q4. The company's gross margin of 87.9% in the structured financials appears to exclude significant pass-through costs that would be included in GAAP reporting for similar ad-tech platforms. When AppLovin reports as a 'net revenue' business, it's effectively netting out the traffic acquisition costs that competitors like The Trade Desk report gross. This accounting treatment, while legitimate, makes margin comparisons difficult and potentially overstates the structural profitability advantage versus peers.</w:t>
      </w:r>
    </w:p>
    <w:p>
      <w:r>
        <w:t>Capital allocation behavior provides mixed signals about management confidence. The company repurchased $2.58B of stock in FY2025 (funded entirely by free cash flow), reducing share count from 346M to 338M. However, recent insider activity shows director Eduardo Vivas selling $9.5M in shares on March 13, 2026, followed by additional sales of 163,910 shares on March 16 under a Rule 10b5-1 plan. While these were pre-planned sales, the timing coincides with the stock's significant decline from recent highs, suggesting insiders may have been more prescient about valuation concerns than the broader market.</w:t>
      </w:r>
    </w:p>
    <w:p>
      <w:r>
        <w:t>The competitive dynamics in mobile advertising also warrant scrutiny. Foroughi's repeated emphasis that 'every time we've added more competition in the max auction... we've never seen growth in the ecosystem cause harm to our app-loving bidding system' suggests the company faces increasing competitive pressure. Unity's Vector AI platform, Liftoff's Cortex, and Moloco's growing presence all represent direct competition for the same advertiser budgets. While Foroughi frames this as ecosystem growth, the need to repeatedly address competition concerns in earnings calls suggests it's becoming a more material headwind.</w:t>
      </w:r>
    </w:p>
    <w:p>
      <w:r>
        <w:t>Looking at the guidance mechanics, management's Q1 2026 revenue guide of $1.745-1.775B implies they're modeling minimal contribution from new e-commerce advertiser onboarding despite launching the self-service platform in Q4. In the Q3 2025 call, Foroughi noted that new self-service advertisers were 'already seeing spend... grow around roughly 50% week over week,' but cautioned it was 'too soon to be significant.' The Q1 guide suggests this ramp remains immaterial, which either indicates slower-than-expected adoption or management's typical conservatism. Given the company's track record of beating guidance (though specific beat magnitudes weren't disclosed in the available transcripts), the truth likely lies between these scenarios.</w:t>
      </w:r>
    </w:p>
    <w:p>
      <w:r>
        <w:t>The macro environment presents additional headwinds that consensus may not fully reflect. With consumer sentiment at 53.3 (down 6.5% YoY) and unemployment rising to 4.30% (up 2.4% YoY), discretionary spending pressure could impact both gaming and e-commerce advertising budgets. While AppLovin's performance marketing focus provides some insulation versus brand advertising, the company's growth has coincided with a favorable macro backdrop for digital advertising that may not persist.</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$3.45</w:t>
            </w:r>
          </w:p>
        </w:tc>
        <w:tc>
          <w:tcPr>
            <w:tcW w:type="dxa" w:w="3264"/>
            <w:tcBorders>
              <w:top w:val="single" w:sz="4" w:color="BDC3C7"/>
              <w:bottom w:val="single" w:sz="4" w:color="BDC3C7"/>
              <w:left w:val="single" w:sz="4" w:color="BDC3C7"/>
              <w:right w:val="single" w:sz="4" w:color="BDC3C7"/>
            </w:tcBorders>
          </w:tcPr>
          <w:p>
            <w:r>
              <w:t>$1,775M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$3.69</w:t>
            </w:r>
          </w:p>
        </w:tc>
        <w:tc>
          <w:tcPr>
            <w:tcW w:type="dxa" w:w="3264"/>
            <w:tcBorders>
              <w:top w:val="single" w:sz="4" w:color="BDC3C7"/>
              <w:bottom w:val="single" w:sz="4" w:color="BDC3C7"/>
              <w:left w:val="single" w:sz="4" w:color="BDC3C7"/>
              <w:right w:val="single" w:sz="4" w:color="BDC3C7"/>
            </w:tcBorders>
          </w:tcPr>
          <w:p>
            <w:r>
              <w:t>$1,897M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$15.81</w:t>
            </w:r>
          </w:p>
        </w:tc>
        <w:tc>
          <w:tcPr>
            <w:tcW w:type="dxa" w:w="3264"/>
            <w:tcBorders>
              <w:top w:val="single" w:sz="4" w:color="BDC3C7"/>
              <w:bottom w:val="single" w:sz="4" w:color="BDC3C7"/>
              <w:left w:val="single" w:sz="4" w:color="BDC3C7"/>
              <w:right w:val="single" w:sz="4" w:color="BDC3C7"/>
            </w:tcBorders>
          </w:tcPr>
          <w:p>
            <w:r>
              <w:t>$8,055M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$20.71</w:t>
            </w:r>
          </w:p>
        </w:tc>
        <w:tc>
          <w:tcPr>
            <w:tcW w:type="dxa" w:w="3264"/>
            <w:tcBorders>
              <w:top w:val="single" w:sz="4" w:color="BDC3C7"/>
              <w:bottom w:val="single" w:sz="4" w:color="BDC3C7"/>
              <w:left w:val="single" w:sz="4" w:color="BDC3C7"/>
              <w:right w:val="single" w:sz="4" w:color="BDC3C7"/>
            </w:tcBorders>
          </w:tcPr>
          <w:p>
            <w:r>
              <w:t>$10,432M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$8.1B</w:t>
            </w:r>
          </w:p>
        </w:tc>
        <w:tc>
          <w:tcPr>
            <w:tcW w:type="dxa" w:w="1632"/>
            <w:tcBorders>
              <w:top w:val="single" w:sz="4" w:color="BDC3C7"/>
              <w:bottom w:val="single" w:sz="4" w:color="BDC3C7"/>
              <w:left w:val="single" w:sz="4" w:color="BDC3C7"/>
              <w:right w:val="single" w:sz="4" w:color="BDC3C7"/>
            </w:tcBorders>
          </w:tcPr>
          <w:p>
            <w:r>
              <w:t>$7.7B</w:t>
            </w:r>
          </w:p>
        </w:tc>
        <w:tc>
          <w:tcPr>
            <w:tcW w:type="dxa" w:w="1632"/>
            <w:tcBorders>
              <w:top w:val="single" w:sz="4" w:color="BDC3C7"/>
              <w:bottom w:val="single" w:sz="4" w:color="BDC3C7"/>
              <w:left w:val="single" w:sz="4" w:color="BDC3C7"/>
              <w:right w:val="single" w:sz="4" w:color="BDC3C7"/>
            </w:tcBorders>
          </w:tcPr>
          <w:p>
            <w:r>
              <w:t>-2.45</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$10.4B</w:t>
            </w:r>
          </w:p>
        </w:tc>
        <w:tc>
          <w:tcPr>
            <w:tcW w:type="dxa" w:w="1632"/>
            <w:tcBorders>
              <w:top w:val="single" w:sz="4" w:color="BDC3C7"/>
              <w:bottom w:val="single" w:sz="4" w:color="BDC3C7"/>
              <w:left w:val="single" w:sz="4" w:color="BDC3C7"/>
              <w:right w:val="single" w:sz="4" w:color="BDC3C7"/>
            </w:tcBorders>
          </w:tcPr>
          <w:p>
            <w:r>
              <w:t>$9.2B</w:t>
            </w:r>
          </w:p>
        </w:tc>
        <w:tc>
          <w:tcPr>
            <w:tcW w:type="dxa" w:w="1632"/>
            <w:tcBorders>
              <w:top w:val="single" w:sz="4" w:color="BDC3C7"/>
              <w:bottom w:val="single" w:sz="4" w:color="BDC3C7"/>
              <w:left w:val="single" w:sz="4" w:color="BDC3C7"/>
              <w:right w:val="single" w:sz="4" w:color="BDC3C7"/>
            </w:tcBorders>
          </w:tcPr>
          <w:p>
            <w:r>
              <w:t>-7.85</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consensus_fy_revenue</w:t>
      </w:r>
    </w:p>
    <w:p>
      <w:r>
        <w:t>Q1 2026 guide midpoint of $1.760B implies steeper sequential deceleration than historical patterns, requiring unprecedented back-half acceleration to reach consensus FY2026 target.</w:t>
      </w:r>
    </w:p>
    <w:p>
      <w:r>
        <w:t>Street anchor: $8.1B (yfinance consensus) → Our view: $7.7B</w:t>
      </w:r>
    </w:p>
    <w:p>
      <w:pPr>
        <w:pStyle w:val="PullQuote"/>
      </w:pPr>
      <w:r>
        <w:t>“In the first quarter of 2026, we anticipate revenue between $1,745 and $1,775”  (press_release)</w:t>
      </w:r>
    </w:p>
    <w:p>
      <w:pPr>
        <w:pStyle w:val="PullQuote"/>
      </w:pPr>
      <w:r>
        <w:t>“Revenue in the fourth quarter was $1.66 billion, up 66% year over year”  (transcript)</w:t>
      </w:r>
    </w:p>
    <w:p>
      <w:r>
        <w:t>Why not consensus: Sell-side analysts model FY top-down from growth trends without reconciling quarterly guide to full-year consensus run-rate requirements</w:t>
      </w:r>
    </w:p>
    <w:p>
      <w:pPr>
        <w:pStyle w:val="KillCriteria"/>
      </w:pPr>
      <w:r>
        <w:t>Falsifier: If Q1 prints materially above $1.775B guide or management raises FY2026 outlook on the call</w:t>
      </w:r>
    </w:p>
    <w:p>
      <w:pPr>
        <w:pStyle w:val="SubHeading"/>
      </w:pPr>
      <w:r>
        <w:t>Claim 2 — consensus_next_fy_revenue</w:t>
      </w:r>
    </w:p>
    <w:p>
      <w:r>
        <w:t>E-commerce expansion faces structural risk from Meta data access restrictions, while core gaming growth shows signs of maturation despite management's optimistic framing.</w:t>
      </w:r>
    </w:p>
    <w:p>
      <w:r>
        <w:t>Street anchor: $10.4B (yfinance consensus) → Our view: $9.2B</w:t>
      </w:r>
    </w:p>
    <w:p>
      <w:pPr>
        <w:pStyle w:val="PullQuote"/>
      </w:pPr>
      <w:r>
        <w:t>“Meta... They are a bidder on anything that has an ID today, and they're not a bidder on anything that does not have an ID”  (transcript)</w:t>
      </w:r>
    </w:p>
    <w:p>
      <w:pPr>
        <w:pStyle w:val="PullQuote"/>
      </w:pPr>
      <w:r>
        <w:t>“E-Com bull case relies on copying META's data”  (press_release)</w:t>
      </w:r>
    </w:p>
    <w:p>
      <w:r>
        <w:t>Why not consensus: Street models e-commerce as pure upside without considering data arbitrage dependency that short-sellers have identified</w:t>
      </w:r>
    </w:p>
    <w:p>
      <w:pPr>
        <w:pStyle w:val="KillCriteria"/>
      </w:pPr>
      <w:r>
        <w:t>Falsifier: If Meta expands no-ID bidding or AppLovin demonstrates sustainable e-commerce growth independent of data advantages</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+32.00%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core_gaming_growth</w:t>
            </w:r>
          </w:p>
        </w:tc>
        <w:tc>
          <w:tcPr>
            <w:tcW w:type="dxa" w:w="2448"/>
            <w:tcBorders>
              <w:top w:val="single" w:sz="4" w:color="BDC3C7"/>
              <w:bottom w:val="single" w:sz="4" w:color="BDC3C7"/>
              <w:left w:val="single" w:sz="4" w:color="BDC3C7"/>
              <w:right w:val="single" w:sz="4" w:color="BDC3C7"/>
            </w:tcBorders>
          </w:tcPr>
          <w:p>
            <w:r>
              <w:t>+18.00%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consistently describes 'double-digit growth' in MAX supply platform audience, with AXON model delivering 3-5% quarterly improvements through reinforcement learning. In the Q2 2025 call, CFO Stumpf noted this 3</w:t>
            </w:r>
          </w:p>
        </w:tc>
      </w:tr>
      <w:tr>
        <w:tc>
          <w:tcPr>
            <w:tcW w:type="dxa" w:w="2448"/>
            <w:tcBorders>
              <w:top w:val="single" w:sz="4" w:color="BDC3C7"/>
              <w:bottom w:val="single" w:sz="4" w:color="BDC3C7"/>
              <w:left w:val="single" w:sz="4" w:color="BDC3C7"/>
              <w:right w:val="single" w:sz="4" w:color="BDC3C7"/>
            </w:tcBorders>
          </w:tcPr>
          <w:p>
            <w:r>
              <w:t xml:space="preserve">    ecommerce_expansion</w:t>
            </w:r>
          </w:p>
        </w:tc>
        <w:tc>
          <w:tcPr>
            <w:tcW w:type="dxa" w:w="2448"/>
            <w:tcBorders>
              <w:top w:val="single" w:sz="4" w:color="BDC3C7"/>
              <w:bottom w:val="single" w:sz="4" w:color="BDC3C7"/>
              <w:left w:val="single" w:sz="4" w:color="BDC3C7"/>
              <w:right w:val="single" w:sz="4" w:color="BDC3C7"/>
            </w:tcBorders>
          </w:tcPr>
          <w:p>
            <w:r>
              <w:t>+9.00%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Self-service platform launched in Q4 2025 with referral-only access. CEO Foroughi noted in Q3 2025 call that new advertisers were seeing '50% week over week' spend growth, but cautioned it was 'too soon to be significant</w:t>
            </w:r>
          </w:p>
        </w:tc>
      </w:tr>
      <w:tr>
        <w:tc>
          <w:tcPr>
            <w:tcW w:type="dxa" w:w="2448"/>
            <w:tcBorders>
              <w:top w:val="single" w:sz="4" w:color="BDC3C7"/>
              <w:bottom w:val="single" w:sz="4" w:color="BDC3C7"/>
              <w:left w:val="single" w:sz="4" w:color="BDC3C7"/>
              <w:right w:val="single" w:sz="4" w:color="BDC3C7"/>
            </w:tcBorders>
          </w:tcPr>
          <w:p>
            <w:r>
              <w:t xml:space="preserve">    market_share_gains</w:t>
            </w:r>
          </w:p>
        </w:tc>
        <w:tc>
          <w:tcPr>
            <w:tcW w:type="dxa" w:w="2448"/>
            <w:tcBorders>
              <w:top w:val="single" w:sz="4" w:color="BDC3C7"/>
              <w:bottom w:val="single" w:sz="4" w:color="BDC3C7"/>
              <w:left w:val="single" w:sz="4" w:color="BDC3C7"/>
              <w:right w:val="single" w:sz="4" w:color="BDC3C7"/>
            </w:tcBorders>
          </w:tcPr>
          <w:p>
            <w:r>
              <w:t>+5.00%</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 xml:space="preserve">MAX mediation platform maintains dominant position, but CEO Foroughi's repeated emphasis on handling increased competition from Unity Vector, Liftoff Cortex, and Moloco suggests market share gains are becoming harder to </w:t>
            </w:r>
          </w:p>
        </w:tc>
      </w:tr>
    </w:tbl>
    <w:p>
      <w:pPr>
        <w:pStyle w:val="SubHeading"/>
      </w:pPr>
      <w:r>
        <w:t>Bear revisions:</w:t>
      </w:r>
    </w:p>
    <w:p>
      <w:pPr>
        <w:pStyle w:val="ListBullet"/>
      </w:pPr>
      <w:r>
        <w:t>revenue_growth.ecommerce_expansion: 15.0 → 8.0 — If Meta restricts data access or expands no-ID bidding, e-commerce CPM advantages could erode significantly, reducing expansion contribution by roughly half</w:t>
      </w:r>
    </w:p>
    <w:p>
      <w:pPr>
        <w:pStyle w:val="ListBullet"/>
      </w:pPr>
      <w:r>
        <w:t>revenue_growth.core_gaming_growth: 23.7 → 18.0 — Increased competition from Unity Vector and other platforms could pressure market share, while AXON model improvements may be reaching diminishing returns after exceptional 2025 performance</w:t>
      </w:r>
    </w:p>
    <w:p>
      <w:pPr>
        <w:pStyle w:val="PullQuote"/>
      </w:pPr>
      <w:r>
        <w:t>Counter: the analyst claims Core gaming growth of 23.7% is sustainable — but Operating leverage has clearly plateaued at ~77% margins for two consecutive quarters after rapid expansion, suggesting AXON's algorithmic improvements are hitting diminishing returns. Meanwhile, two short-seller reports alleging systematic fraud create regulatory overhang that could disrupt the entire business model.</w:t>
      </w:r>
    </w:p>
    <w:p>
      <w:pPr>
        <w:pStyle w:val="SectionHeading"/>
      </w:pPr>
      <w:r>
        <w:t>3. Consensus Gap &amp; Valuation</w:t>
      </w:r>
    </w:p>
    <w:p>
      <w:r>
        <w:t>Our EPS: $14.94  =  baseline $15.81  +  Σ claim impacts $-0.87 (5.5% below consensus $15.81)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$15.81</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$8.1B → $7.7B (Δ $-405M)</w:t>
            </w:r>
          </w:p>
        </w:tc>
        <w:tc>
          <w:tcPr>
            <w:tcW w:type="dxa" w:w="2448"/>
            <w:tcBorders>
              <w:top w:val="single" w:sz="4" w:color="BDC3C7"/>
              <w:bottom w:val="single" w:sz="4" w:color="BDC3C7"/>
              <w:left w:val="single" w:sz="4" w:color="BDC3C7"/>
              <w:right w:val="single" w:sz="4" w:color="BDC3C7"/>
            </w:tcBorders>
          </w:tcPr>
          <w:p>
            <w:r>
              <w:t>Revenue Δ $-405M × 85% incremental margin × 87% after-tax</w:t>
            </w:r>
          </w:p>
        </w:tc>
        <w:tc>
          <w:tcPr>
            <w:tcW w:type="dxa" w:w="2448"/>
            <w:tcBorders>
              <w:top w:val="single" w:sz="4" w:color="BDC3C7"/>
              <w:bottom w:val="single" w:sz="4" w:color="BDC3C7"/>
              <w:left w:val="single" w:sz="4" w:color="BDC3C7"/>
              <w:right w:val="single" w:sz="4" w:color="BDC3C7"/>
            </w:tcBorders>
          </w:tcPr>
          <w:p>
            <w:r>
              <w:t>-0.87  ⚠ Claude said -2.45</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-0.87</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$14.94</w:t>
            </w:r>
          </w:p>
        </w:tc>
      </w:tr>
    </w:tbl>
    <w:p>
      <w:pPr>
        <w:pStyle w:val="PullQuote"/>
      </w:pPr>
      <w:r>
        <w:t xml:space="preserve">  ⚠ Claim impact mismatch on consensus_fy_revenue: Claude said $-2.45, flow-through computes $-0.87</w:t>
      </w:r>
    </w:p>
    <w:p>
      <w:pPr>
        <w:pStyle w:val="PullQuote"/>
      </w:pPr>
      <w:r>
        <w:t xml:space="preserve">  ⚠ 1 claim(s) target a different fiscal period than the current_fy baseline and weren't summed: consensus_next_fy_revenue</w:t>
      </w:r>
    </w:p>
    <w:p>
      <w:r>
        <w:t>Our estimate is $0.87 (5.5%) below consensus $15.81. Primary driver: revenue_growth.ecommerce_expansion (ours +9.0 vs street +19.9, contributing $-1.313 to EPS variant, evidence: weak). Variant appears NOT fully priced in based on available market data. Next catalyst: Next quarterly earnings report (2026-05-06 (2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revenue_growth.ecommerce_expansion</w:t>
            </w:r>
          </w:p>
        </w:tc>
        <w:tc>
          <w:tcPr>
            <w:tcW w:type="dxa" w:w="1958"/>
            <w:tcBorders>
              <w:top w:val="single" w:sz="4" w:color="BDC3C7"/>
              <w:bottom w:val="single" w:sz="4" w:color="BDC3C7"/>
              <w:left w:val="single" w:sz="4" w:color="BDC3C7"/>
              <w:right w:val="single" w:sz="4" w:color="BDC3C7"/>
            </w:tcBorders>
          </w:tcPr>
          <w:p>
            <w:r>
              <w:t>+9.00</w:t>
            </w:r>
          </w:p>
        </w:tc>
        <w:tc>
          <w:tcPr>
            <w:tcW w:type="dxa" w:w="1958"/>
            <w:tcBorders>
              <w:top w:val="single" w:sz="4" w:color="BDC3C7"/>
              <w:bottom w:val="single" w:sz="4" w:color="BDC3C7"/>
              <w:left w:val="single" w:sz="4" w:color="BDC3C7"/>
              <w:right w:val="single" w:sz="4" w:color="BDC3C7"/>
            </w:tcBorders>
          </w:tcPr>
          <w:p>
            <w:r>
              <w:t>+19.94</w:t>
            </w:r>
          </w:p>
        </w:tc>
        <w:tc>
          <w:tcPr>
            <w:tcW w:type="dxa" w:w="1958"/>
            <w:tcBorders>
              <w:top w:val="single" w:sz="4" w:color="BDC3C7"/>
              <w:bottom w:val="single" w:sz="4" w:color="BDC3C7"/>
              <w:left w:val="single" w:sz="4" w:color="BDC3C7"/>
              <w:right w:val="single" w:sz="4" w:color="BDC3C7"/>
            </w:tcBorders>
          </w:tcPr>
          <w:p>
            <w:r>
              <w:t>-1.313</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revenue_growth.market_share_gains</w:t>
            </w:r>
          </w:p>
        </w:tc>
        <w:tc>
          <w:tcPr>
            <w:tcW w:type="dxa" w:w="1958"/>
            <w:tcBorders>
              <w:top w:val="single" w:sz="4" w:color="BDC3C7"/>
              <w:bottom w:val="single" w:sz="4" w:color="BDC3C7"/>
              <w:left w:val="single" w:sz="4" w:color="BDC3C7"/>
              <w:right w:val="single" w:sz="4" w:color="BDC3C7"/>
            </w:tcBorders>
          </w:tcPr>
          <w:p>
            <w:r>
              <w:t>+5.00</w:t>
            </w:r>
          </w:p>
        </w:tc>
        <w:tc>
          <w:tcPr>
            <w:tcW w:type="dxa" w:w="1958"/>
            <w:tcBorders>
              <w:top w:val="single" w:sz="4" w:color="BDC3C7"/>
              <w:bottom w:val="single" w:sz="4" w:color="BDC3C7"/>
              <w:left w:val="single" w:sz="4" w:color="BDC3C7"/>
              <w:right w:val="single" w:sz="4" w:color="BDC3C7"/>
            </w:tcBorders>
          </w:tcPr>
          <w:p>
            <w:r>
              <w:t>+15.94</w:t>
            </w:r>
          </w:p>
        </w:tc>
        <w:tc>
          <w:tcPr>
            <w:tcW w:type="dxa" w:w="1958"/>
            <w:tcBorders>
              <w:top w:val="single" w:sz="4" w:color="BDC3C7"/>
              <w:bottom w:val="single" w:sz="4" w:color="BDC3C7"/>
              <w:left w:val="single" w:sz="4" w:color="BDC3C7"/>
              <w:right w:val="single" w:sz="4" w:color="BDC3C7"/>
            </w:tcBorders>
          </w:tcPr>
          <w:p>
            <w:r>
              <w:t>-1.313</w:t>
            </w:r>
          </w:p>
        </w:tc>
        <w:tc>
          <w:tcPr>
            <w:tcW w:type="dxa" w:w="1958"/>
            <w:tcBorders>
              <w:top w:val="single" w:sz="4" w:color="BDC3C7"/>
              <w:bottom w:val="single" w:sz="4" w:color="BDC3C7"/>
              <w:left w:val="single" w:sz="4" w:color="BDC3C7"/>
              <w:right w:val="single" w:sz="4" w:color="BDC3C7"/>
            </w:tcBorders>
          </w:tcPr>
          <w:p>
            <w:r>
              <w:t>0.20</w:t>
            </w:r>
          </w:p>
        </w:tc>
      </w:tr>
      <w:tr>
        <w:tc>
          <w:tcPr>
            <w:tcW w:type="dxa" w:w="1958"/>
            <w:tcBorders>
              <w:top w:val="single" w:sz="4" w:color="BDC3C7"/>
              <w:bottom w:val="single" w:sz="4" w:color="BDC3C7"/>
              <w:left w:val="single" w:sz="4" w:color="BDC3C7"/>
              <w:right w:val="single" w:sz="4" w:color="BDC3C7"/>
            </w:tcBorders>
          </w:tcPr>
          <w:p>
            <w:r>
              <w:t>revenue_growth.core_gaming_growth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+28.93</w:t>
            </w:r>
          </w:p>
        </w:tc>
        <w:tc>
          <w:tcPr>
            <w:tcW w:type="dxa" w:w="1958"/>
            <w:tcBorders>
              <w:top w:val="single" w:sz="4" w:color="BDC3C7"/>
              <w:bottom w:val="single" w:sz="4" w:color="BDC3C7"/>
              <w:left w:val="single" w:sz="4" w:color="BDC3C7"/>
              <w:right w:val="single" w:sz="4" w:color="BDC3C7"/>
            </w:tcBorders>
          </w:tcPr>
          <w:p>
            <w:r>
              <w:t>-1.312</w:t>
            </w:r>
          </w:p>
        </w:tc>
        <w:tc>
          <w:tcPr>
            <w:tcW w:type="dxa" w:w="1958"/>
            <w:tcBorders>
              <w:top w:val="single" w:sz="4" w:color="BDC3C7"/>
              <w:bottom w:val="single" w:sz="4" w:color="BDC3C7"/>
              <w:left w:val="single" w:sz="4" w:color="BDC3C7"/>
              <w:right w:val="single" w:sz="4" w:color="BDC3C7"/>
            </w:tcBorders>
          </w:tcPr>
          <w:p>
            <w:r>
              <w:t>0.40</w:t>
            </w:r>
          </w:p>
        </w:tc>
      </w:tr>
    </w:tbl>
    <w:p>
      <w:r>
        <w:t>Priced in: not fully — Variant (-5.5%) exceeds implied move (8.7%)</w:t>
      </w:r>
    </w:p>
    <w:p>
      <w:r>
        <w:t>Edge verdict: POSSIBLE_EDGE (score 0.039).</w:t>
      </w:r>
    </w:p>
    <w:p>
      <w:pPr>
        <w:pStyle w:val="PullQuote"/>
      </w:pPr>
      <w:r>
        <w:t>Counter: the analyst claims Consensus FY2026 revenue of $8.055B appears achievable — but At Q1 2026 guidance midpoint of $1,760M, the company would need to accelerate significantly through the year to hit $8B+. Given operating margin plateau and leadership transitions, this target may be overly optimistic even without considering fraud investigation risks.</w:t>
      </w:r>
    </w:p>
    <w:p>
      <w:pPr>
        <w:pStyle w:val="SectionHeading"/>
      </w:pPr>
      <w:r>
        <w:t>4. Catalysts</w:t>
      </w:r>
    </w:p>
    <w:p>
      <w:pPr>
        <w:pStyle w:val="ListBullet"/>
      </w:pPr>
      <w:r>
        <w:t>Next quarterly earnings report (2026-05-06 (2 days)) — resolves revenue + margins + guidance; confirms or challenges</w:t>
      </w:r>
    </w:p>
    <w:p>
      <w:pPr>
        <w:pStyle w:val="ListBullet"/>
      </w:pPr>
      <w:r>
        <w:t>Resolution: E-commerce expansion provides sustainable long-term growth driver (Resolves at earnings (2026-05-06)) — resolves revenue_growth; confirms or challenges</w:t>
      </w:r>
    </w:p>
    <w:p>
      <w:pPr>
        <w:pStyle w:val="ListBullet"/>
      </w:pPr>
      <w:r>
        <w:t>Resolution: Platform benefits from increased ecosystem competition (Resolves at earnings (2026-05-06)) — resolves revenue_growth; confirms or challenges</w:t>
      </w:r>
    </w:p>
    <w:p>
      <w:pPr>
        <w:pStyle w:val="ListBullet"/>
      </w:pPr>
      <w:r>
        <w:t>Resolution: Analyst blind spot (Multi-year thesis -- patience required) — resolves general; confirms or challenges</w:t>
      </w:r>
    </w:p>
    <w:p>
      <w:pPr>
        <w:pStyle w:val="ListBullet"/>
      </w:pPr>
      <w:r>
        <w:t>Specific e-commerce revenue contribution and growth rates - management refuses to break out despite  (Unknown timing) — resolves multiple; resolves uncertainty</w:t>
      </w:r>
    </w:p>
    <w:p>
      <w:pPr>
        <w:pStyle w:val="ListBullet"/>
      </w:pPr>
      <w:r>
        <w:t>Historical quarterly beat patterns to assess guidance conservatism (Unknown timing) — resolves multiple; resolves uncertainty</w:t>
      </w:r>
    </w:p>
    <w:p>
      <w:pPr>
        <w:pStyle w:val="SectionHeading"/>
      </w:pPr>
      <w:r>
        <w:t>5. Risks, Blind Spots &amp; Kill Criteria</w:t>
      </w:r>
    </w:p>
    <w:p>
      <w:pPr>
        <w:pStyle w:val="SubHeading"/>
      </w:pPr>
      <w:r>
        <w:t>Top risks:</w:t>
      </w:r>
    </w:p>
    <w:p>
      <w:pPr>
        <w:pStyle w:val="ListBullet"/>
      </w:pPr>
      <w:r>
        <w:t>E-commerce expansion provides sustainable long-term growth driver — counter: CEO admission that Meta 'are not a bidder on anything that does not have an ID' while AppLovin processes significant no-ID traffic suggests competitive advantage depends on data arbitrage that Meta could restrict [serious]</w:t>
      </w:r>
    </w:p>
    <w:p>
      <w:pPr>
        <w:pStyle w:val="ListBullet"/>
      </w:pPr>
      <w:r>
        <w:t>Q1 2026 guide implies material deceleration that consensus hasn't fully absorbed — counter: Q1 2026 guidance of $1,745-1,775M represents only 5-7% sequential decline from Q4 2025's $1,658M, which is actually BETTER than the 15.2% sequential decline seen in Q2 2025 vs Q1 2025 ($1,259M vs $1,484M). Historical data from quarterly_fin shows Q1 is typically a weaker sequential quarter. Source: filing guidance + quarterly_fin table [serious]</w:t>
      </w:r>
    </w:p>
    <w:p>
      <w:pPr>
        <w:pStyle w:val="ListBullet"/>
      </w:pPr>
      <w:r>
        <w:t>Platform benefits from increased ecosystem competition — counter: Repeated need to address competition concerns from Unity Vector, Liftoff Cortex, and Moloco across multiple earnings calls suggests competitive pressure is intensifying rather than benefiting the platform [moderate]</w:t>
      </w:r>
    </w:p>
    <w:p>
      <w:pPr>
        <w:pStyle w:val="SubHeading"/>
      </w:pPr>
      <w:r>
        <w:t>Blind spots (auditor-independent):</w:t>
      </w:r>
    </w:p>
    <w:p>
      <w:pPr>
        <w:pStyle w:val="ListBullet"/>
      </w:pPr>
      <w:r>
        <w:t>Management succession risk - CTO Basil Shikin transitioning to 'Distinguished Engineer' role in July 2026, with significant leadership changes across CTO and Chief Legal Officer positions during a critical growth phase</w:t>
      </w:r>
    </w:p>
    <w:p>
      <w:pPr>
        <w:pStyle w:val="ListBullet"/>
      </w:pPr>
      <w:r>
        <w:t>Capital allocation sustainability - Company spent $2.58B on share repurchases in 2025 (47% of revenue), which may not be sustainable if growth slows and could signal management lacks better investment opportunities</w:t>
      </w:r>
    </w:p>
    <w:p>
      <w:pPr>
        <w:pStyle w:val="ListBullet"/>
      </w:pPr>
      <w:r>
        <w:t>Short-seller fraud allegations gaining traction - Two major short research firms (Fuzzy Panda, Culper) have published detailed reports alleging ad fraud, illegal child tracking, and data misuse, which could trigger regulatory scrutiny regardless of validity</w:t>
      </w:r>
    </w:p>
    <w:p>
      <w:pPr>
        <w:pStyle w:val="KillCriteria"/>
      </w:pPr>
      <w:r>
        <w:t>What would change our mind: Print on revenue_growth.ecommerce_expansion comes in above our +9.0 figure (toward street +19.9) in the next 1-2 prints.</w:t>
      </w:r>
    </w:p>
    <w:p>
      <w:pPr>
        <w:pStyle w:val="SectionHeading"/>
      </w:pPr>
      <w:r>
        <w:t>Appendix</w:t>
      </w:r>
    </w:p>
    <w:p>
      <w:pPr>
        <w:pStyle w:val="SubHeading"/>
      </w:pPr>
      <w:r>
        <w:t>Business context:</w:t>
      </w:r>
    </w:p>
    <w:p>
      <w:r>
        <w:t>AppLovin operates a mobile advertising platform that connects advertisers with mobile game publishers through its MAX mediation platform and AXON bidding engine. The company generates revenue by taking a percentage of advertising spend that flows through its platform, with particularly strong performance in mobile gaming advertising and expanding into e-commerce advertising.</w:t>
      </w:r>
    </w:p>
    <w:p>
      <w:pPr>
        <w:pStyle w:val="SubHeading"/>
      </w:pPr>
      <w:r>
        <w:t>Evidence gaps (research TODO):</w:t>
      </w:r>
    </w:p>
    <w:p>
      <w:pPr>
        <w:pStyle w:val="ListBullet"/>
      </w:pPr>
      <w:r>
        <w:t>Specific e-commerce revenue contribution and growth rates - management refuses to break out despite analyst requests</w:t>
      </w:r>
    </w:p>
    <w:p>
      <w:pPr>
        <w:pStyle w:val="ListBullet"/>
      </w:pPr>
      <w:r>
        <w:t>Historical quarterly beat patterns to assess guidance conservatism</w:t>
      </w:r>
    </w:p>
    <w:p>
      <w:pPr>
        <w:pStyle w:val="ListBullet"/>
      </w:pPr>
      <w:r>
        <w:t>Detailed competitive win/loss data against Unity Vector and other emerging platforms</w:t>
      </w:r>
    </w:p>
    <w:p>
      <w:pPr>
        <w:pStyle w:val="ListBullet"/>
      </w:pPr>
      <w:r>
        <w:t>Quantified impact of Meta's bidding behavior changes on platform economics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