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COST — COST</w:t>
      </w:r>
    </w:p>
    <w:p>
      <w:pPr>
        <w:pStyle w:val="SmallMeta"/>
      </w:pPr>
      <w:r>
        <w:t>As of 2026-05-06  |  Schema: general  |  Data: polygon+alpha_vantage (FY2025)</w:t>
      </w:r>
    </w:p>
    <w:p>
      <w:pPr>
        <w:pStyle w:val="SubHeading"/>
      </w:pPr>
      <w:r>
        <w:rPr>
          <w:color w:val="8C1D40"/>
        </w:rPr>
        <w:t>Current: $1016.42</w:t>
      </w:r>
    </w:p>
    <w:p>
      <w:pPr>
        <w:pStyle w:val="SubHeading"/>
      </w:pPr>
      <w:r>
        <w:t>Summary</w:t>
      </w:r>
    </w:p>
    <w:p>
      <w:pPr>
        <w:pStyle w:val="ListBullet"/>
      </w:pPr>
      <w:r>
        <w:t>Thesis: No clear edge identified -- estimate is close to consensus range.</w:t>
      </w:r>
    </w:p>
    <w:p>
      <w:pPr>
        <w:pStyle w:val="ListBullet"/>
      </w:pPr>
      <w:r>
        <w:t>Next catalyst: Next quarterly earnings report (2026-05-28 (22 days))</w:t>
      </w:r>
    </w:p>
    <w:p>
      <w:pPr>
        <w:pStyle w:val="ListBullet"/>
      </w:pPr>
      <w:r>
        <w:t>Top risk: Analyst assumes 2.1% revenue contribution from new warehouse expansion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$4.90</w:t>
            </w:r>
          </w:p>
        </w:tc>
        <w:tc>
          <w:tcPr>
            <w:tcW w:type="dxa" w:w="1399"/>
            <w:tcBorders>
              <w:top w:val="single" w:sz="4" w:color="BDC3C7"/>
              <w:bottom w:val="single" w:sz="4" w:color="BDC3C7"/>
              <w:left w:val="single" w:sz="4" w:color="BDC3C7"/>
              <w:right w:val="single" w:sz="4" w:color="BDC3C7"/>
            </w:tcBorders>
          </w:tcPr>
          <w:p>
            <w:r>
              <w:t>$4.66 – $5.14</w:t>
            </w:r>
          </w:p>
        </w:tc>
        <w:tc>
          <w:tcPr>
            <w:tcW w:type="dxa" w:w="1399"/>
            <w:tcBorders>
              <w:top w:val="single" w:sz="4" w:color="BDC3C7"/>
              <w:bottom w:val="single" w:sz="4" w:color="BDC3C7"/>
              <w:left w:val="single" w:sz="4" w:color="BDC3C7"/>
              <w:right w:val="single" w:sz="4" w:color="BDC3C7"/>
            </w:tcBorders>
          </w:tcPr>
          <w:p>
            <w:r>
              <w:t>30</w:t>
            </w:r>
          </w:p>
        </w:tc>
        <w:tc>
          <w:tcPr>
            <w:tcW w:type="dxa" w:w="1399"/>
            <w:tcBorders>
              <w:top w:val="single" w:sz="4" w:color="BDC3C7"/>
              <w:bottom w:val="single" w:sz="4" w:color="BDC3C7"/>
              <w:left w:val="single" w:sz="4" w:color="BDC3C7"/>
              <w:right w:val="single" w:sz="4" w:color="BDC3C7"/>
            </w:tcBorders>
          </w:tcPr>
          <w:p>
            <w:r>
              <w:t>+14.5%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↑4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$6.49</w:t>
            </w:r>
          </w:p>
        </w:tc>
        <w:tc>
          <w:tcPr>
            <w:tcW w:type="dxa" w:w="1399"/>
            <w:tcBorders>
              <w:top w:val="single" w:sz="4" w:color="BDC3C7"/>
              <w:bottom w:val="single" w:sz="4" w:color="BDC3C7"/>
              <w:left w:val="single" w:sz="4" w:color="BDC3C7"/>
              <w:right w:val="single" w:sz="4" w:color="BDC3C7"/>
            </w:tcBorders>
          </w:tcPr>
          <w:p>
            <w:r>
              <w:t>$6.25 – $7.10</w:t>
            </w:r>
          </w:p>
        </w:tc>
        <w:tc>
          <w:tcPr>
            <w:tcW w:type="dxa" w:w="1399"/>
            <w:tcBorders>
              <w:top w:val="single" w:sz="4" w:color="BDC3C7"/>
              <w:bottom w:val="single" w:sz="4" w:color="BDC3C7"/>
              <w:left w:val="single" w:sz="4" w:color="BDC3C7"/>
              <w:right w:val="single" w:sz="4" w:color="BDC3C7"/>
            </w:tcBorders>
          </w:tcPr>
          <w:p>
            <w:r>
              <w:t>29</w:t>
            </w:r>
          </w:p>
        </w:tc>
        <w:tc>
          <w:tcPr>
            <w:tcW w:type="dxa" w:w="1399"/>
            <w:tcBorders>
              <w:top w:val="single" w:sz="4" w:color="BDC3C7"/>
              <w:bottom w:val="single" w:sz="4" w:color="BDC3C7"/>
              <w:left w:val="single" w:sz="4" w:color="BDC3C7"/>
              <w:right w:val="single" w:sz="4" w:color="BDC3C7"/>
            </w:tcBorders>
          </w:tcPr>
          <w:p>
            <w:r>
              <w:t>+10.5%</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$20.46</w:t>
            </w:r>
          </w:p>
        </w:tc>
        <w:tc>
          <w:tcPr>
            <w:tcW w:type="dxa" w:w="1399"/>
            <w:tcBorders>
              <w:top w:val="single" w:sz="4" w:color="BDC3C7"/>
              <w:bottom w:val="single" w:sz="4" w:color="BDC3C7"/>
              <w:left w:val="single" w:sz="4" w:color="BDC3C7"/>
              <w:right w:val="single" w:sz="4" w:color="BDC3C7"/>
            </w:tcBorders>
          </w:tcPr>
          <w:p>
            <w:r>
              <w:t>$19.99 – $21.32</w:t>
            </w:r>
          </w:p>
        </w:tc>
        <w:tc>
          <w:tcPr>
            <w:tcW w:type="dxa" w:w="1399"/>
            <w:tcBorders>
              <w:top w:val="single" w:sz="4" w:color="BDC3C7"/>
              <w:bottom w:val="single" w:sz="4" w:color="BDC3C7"/>
              <w:left w:val="single" w:sz="4" w:color="BDC3C7"/>
              <w:right w:val="single" w:sz="4" w:color="BDC3C7"/>
            </w:tcBorders>
          </w:tcPr>
          <w:p>
            <w:r>
              <w:t>29</w:t>
            </w:r>
          </w:p>
        </w:tc>
        <w:tc>
          <w:tcPr>
            <w:tcW w:type="dxa" w:w="1399"/>
            <w:tcBorders>
              <w:top w:val="single" w:sz="4" w:color="BDC3C7"/>
              <w:bottom w:val="single" w:sz="4" w:color="BDC3C7"/>
              <w:left w:val="single" w:sz="4" w:color="BDC3C7"/>
              <w:right w:val="single" w:sz="4" w:color="BDC3C7"/>
            </w:tcBorders>
          </w:tcPr>
          <w:p>
            <w:r>
              <w:t>+12.4%</w:t>
            </w:r>
          </w:p>
        </w:tc>
        <w:tc>
          <w:tcPr>
            <w:tcW w:type="dxa" w:w="1399"/>
            <w:tcBorders>
              <w:top w:val="single" w:sz="4" w:color="BDC3C7"/>
              <w:bottom w:val="single" w:sz="4" w:color="BDC3C7"/>
              <w:left w:val="single" w:sz="4" w:color="BDC3C7"/>
              <w:right w:val="single" w:sz="4" w:color="BDC3C7"/>
            </w:tcBorders>
          </w:tcPr>
          <w:p>
            <w:r>
              <w:t>↑ +0.015</w:t>
            </w:r>
          </w:p>
        </w:tc>
        <w:tc>
          <w:tcPr>
            <w:tcW w:type="dxa" w:w="1399"/>
            <w:tcBorders>
              <w:top w:val="single" w:sz="4" w:color="BDC3C7"/>
              <w:bottom w:val="single" w:sz="4" w:color="BDC3C7"/>
              <w:left w:val="single" w:sz="4" w:color="BDC3C7"/>
              <w:right w:val="single" w:sz="4" w:color="BDC3C7"/>
            </w:tcBorders>
          </w:tcPr>
          <w:p>
            <w:r>
              <w:t>↑5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$22.51</w:t>
            </w:r>
          </w:p>
        </w:tc>
        <w:tc>
          <w:tcPr>
            <w:tcW w:type="dxa" w:w="1399"/>
            <w:tcBorders>
              <w:top w:val="single" w:sz="4" w:color="BDC3C7"/>
              <w:bottom w:val="single" w:sz="4" w:color="BDC3C7"/>
              <w:left w:val="single" w:sz="4" w:color="BDC3C7"/>
              <w:right w:val="single" w:sz="4" w:color="BDC3C7"/>
            </w:tcBorders>
          </w:tcPr>
          <w:p>
            <w:r>
              <w:t>$21.64 – $24.64</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+10.0%</w:t>
            </w:r>
          </w:p>
        </w:tc>
        <w:tc>
          <w:tcPr>
            <w:tcW w:type="dxa" w:w="1399"/>
            <w:tcBorders>
              <w:top w:val="single" w:sz="4" w:color="BDC3C7"/>
              <w:bottom w:val="single" w:sz="4" w:color="BDC3C7"/>
              <w:left w:val="single" w:sz="4" w:color="BDC3C7"/>
              <w:right w:val="single" w:sz="4" w:color="BDC3C7"/>
            </w:tcBorders>
          </w:tcPr>
          <w:p>
            <w:r>
              <w:t>↑ +0.020</w:t>
            </w:r>
          </w:p>
        </w:tc>
        <w:tc>
          <w:tcPr>
            <w:tcW w:type="dxa" w:w="1399"/>
            <w:tcBorders>
              <w:top w:val="single" w:sz="4" w:color="BDC3C7"/>
              <w:bottom w:val="single" w:sz="4" w:color="BDC3C7"/>
              <w:left w:val="single" w:sz="4" w:color="BDC3C7"/>
              <w:right w:val="single" w:sz="4" w:color="BDC3C7"/>
            </w:tcBorders>
          </w:tcPr>
          <w:p>
            <w:r>
              <w:t>↑7 / ↓0</w:t>
            </w:r>
          </w:p>
        </w:tc>
      </w:tr>
    </w:tbl>
    <w:p>
      <w:r>
        <w:t>Revenue consensus: Q $68.93B (+9.1%)  |  Q+1 $93.22B (+8.2%)  |  FY $298.89B (+8.6%)  |  FY+1 $322.03B (+7.7%)</w:t>
      </w:r>
    </w:p>
    <w:p>
      <w:r>
        <w:t>Price targets: Mean $1072.16  |  Median $1100.00  |  Range $650.00–$1315.00  |  Current $1016.42 (+5.5% to mean)</w:t>
      </w:r>
    </w:p>
    <w:p>
      <w:r>
        <w:t>Analyst ratings (n=36): Strong Buy 3 · Buy 19 · Hold 12 · Sell 2 · Strong Sell 0  ·  61% bullish</w:t>
      </w:r>
    </w:p>
    <w:p>
      <w:r>
        <w:t>Next earnings: 2026-05-28 (22d out)  ·  EPS $4.95 ($4.66–$6.48)  ·  Rev $68.93B</w:t>
      </w:r>
    </w:p>
    <w:p>
      <w:pPr>
        <w:pStyle w:val="SectionHeading"/>
      </w:pPr>
      <w:r>
        <w:t>1. Research Synthesis</w:t>
      </w:r>
    </w:p>
    <w:p>
      <w:r>
        <w:t>Costco's business model continues to demonstrate remarkable consistency, with management repeatedly emphasizing their ability to deliver 'very consistent' comparable sales growth in the 6-7% range across multiple quarters. In the Q2 2026 call, management noted that 'overall, our results have been very consistent in that 6% or 7%' despite various external noise factors, and this pattern held through Q1 2026 when they cited being 'very consistent in that sort of 6% to 7% comp sales range over the last several quarters.' This consistency provides a strong foundation for modeling forward revenue growth, though it also suggests limited upside surprise potential.</w:t>
      </w:r>
    </w:p>
    <w:p>
      <w:pPr>
        <w:pStyle w:val="ListBullet"/>
      </w:pPr>
      <w:r>
        <w:rPr>
          <w:i/>
        </w:rPr>
        <w:t>→ Research confirms: Management stated in the Q2 2026 call: 'Overall, our results have been very consistent in that 6% or 7%', directly matching the verbatim claim from the brief. (investing.com)</w:t>
      </w:r>
    </w:p>
    <w:p>
      <w:r>
        <w:t>The most material development has been management's revision of warehouse opening plans from 35 locations to 28 net new openings for FY26, disclosed in the Q1 2026 call. CEO Ron Vachris explained that 'delays with a couple of our buildings in Spain resulted in us revising our plan net new openings for fiscal year 26 down to 28.' However, management maintained their long-term expansion confidence, stating 'we continue to plan for 30 plus net openings per year in future years.' This revision represents a 20% reduction in near-term unit growth but appears to be execution-related rather than demand-driven, as management cited specific geographic delays rather than broader market concerns.</w:t>
      </w:r>
    </w:p>
    <w:p>
      <w:pPr>
        <w:pStyle w:val="PullQuote"/>
      </w:pPr>
      <w:r>
        <w:t>Counter: the analyst claims No clear edge identified with estimate close to consensus range — but This is actually a contrarian setup - consensus likely hasn't fully incorporated the warehouse opening guidance cut and its compounding effect on medium-term growth. The Spain delay signals broader international execution risk that consensus estimates may not reflect.</w:t>
      </w:r>
    </w:p>
    <w:p>
      <w:pPr>
        <w:pStyle w:val="ListBullet"/>
      </w:pPr>
      <w:r>
        <w:rPr>
          <w:i/>
        </w:rPr>
        <w:t>→ Research confirms: Ron Vachris is confirmed as current CEO of Costco since January 1, 2024. The verbatim claim attributing a quote about Spain building delays to CEO Ron Vachris is consistent with his current role and authority to make such statements. (costco.com)</w:t>
      </w:r>
    </w:p>
    <w:p>
      <w:r>
        <w:t>The warehouse expansion economics continue to improve meaningfully. Management disclosed that 'fiscal year 25 openings generating an annualized $192 million per warehouse of sales in the year of opening, that is up from $150 million for new warehouses opened just two years earlier.' This 28% improvement in new store productivity suggests the expansion strategy is becoming more efficient, with faster maturation times and higher initial sales volumes. Combined with management's comment that 'new warehouse expansion has allowed us to consistently drive top line revenue well in excess of our comparable sales and gain significant market share,' the unit economics support continued aggressive expansion despite the FY26 timing delays.</w:t>
      </w:r>
    </w:p>
    <w:p>
      <w:pPr>
        <w:pStyle w:val="ListBullet"/>
      </w:pPr>
      <w:r>
        <w:rPr>
          <w:i/>
        </w:rPr>
        <w:t>→ Research confirms: Costco Q1 FY2026 earnings call directly confirms fiscal 2025 warehouse openings generated $192 million annualized per warehouse, up from $150 million for 2023 openings—a 28% improvement. (fool.com)</w:t>
      </w:r>
    </w:p>
    <w:p>
      <w:pPr>
        <w:pStyle w:val="ListBullet"/>
      </w:pPr>
      <w:r>
        <w:rPr>
          <w:i/>
        </w:rPr>
        <w:t>→ Research: Recent Form 4 filings show insider selling activity (March-April 2026) but no significant insider buying. Executives sold shares totaling ~$695K-$2.26M in late 2025 and early 2026, with no corresponding purchases signaling confidence in expansion plans. (yahoo.com)</w:t>
      </w:r>
    </w:p>
    <w:p>
      <w:r>
        <w:t>Digital momentum represents a significant growth driver that may not be fully captured in traditional retail metrics. Management introduced a new 'digitally enabled comparable sales' metric in Q4 2025, explaining that it 'will incorporate all sales that originated online, including our same-day delivery service fulfilled by Instacart, Uber Eats, and DoorDash.' This metric showed 22.6% growth in Q2 2026 and 20.5% growth in Q1 2026, substantially outpacing overall comparable sales. The digital channel reached 'more than $27 billion' in FY25, representing roughly 10% of total sales with accelerating growth rates. Management also highlighted strong digital engagement metrics, with 'site traffic in the quarter was up 32% and app traffic was up 45%' in Q2 2026.</w:t>
      </w:r>
    </w:p>
    <w:p>
      <w:pPr>
        <w:pStyle w:val="ListBullet"/>
      </w:pPr>
      <w:r>
        <w:rPr>
          <w:i/>
        </w:rPr>
        <w:t>→ Research confirms: Costco's FY25 10-K filing confirms digitally-enabled sales (including e-commerce and Costco Travel) represented approximately 10% of total net sales in 2025, with total net sales of $269.9B, implying ~$27B in digital channel sales. (stocktitan.net)</w:t>
      </w:r>
    </w:p>
    <w:p>
      <w:r>
        <w:t>Membership fee income continues to provide stable, high-margin revenue growth. The company reported membership fee income of $1.355 billion in Q2 2026, up 13.6% year-over-year, and $1.329 billion in Q1 2026, up 14% year-over-year. This recurring revenue stream provides earnings stability and supports the low-margin merchandise strategy. Management noted accelerated executive member growth, with 'executive members per week grew at an accelerated pace from 4Q to 1Q,' likely driven by extended shopping hours and enhanced benefits that create additional member value.</w:t>
      </w:r>
    </w:p>
    <w:p>
      <w:pPr>
        <w:pStyle w:val="ListBullet"/>
      </w:pPr>
      <w:r>
        <w:rPr>
          <w:i/>
        </w:rPr>
        <w:t>→ Research confirms: Costco's Q2 2026 10-Q and earnings materials directly confirm membership fee income of $1.355 billion with 13.6% year-over-year growth. Multiple authoritative sources including SEC filings and investor relations press release validate the exact figures. (costco.com)</w:t>
      </w:r>
    </w:p>
    <w:p>
      <w:r>
        <w:t>Operational metrics suggest healthy underlying business momentum despite some weather-related volatility. Traffic growth remained consistent at 3.1% worldwide in both Q1 and Q2 2026, while average transaction size increased 4.2% worldwide in Q2 (3.5% excluding gas and FX impacts). However, management noted some weather disruption in Q2, explaining that 'because of the weather we had in the northeast in particular, we had 55 warehouses that were closed for a full day and then took a couple of days for the local communities to get back up to sort of speed.' This suggests some near-term headwinds that may normalize in subsequent quarters.</w:t>
      </w:r>
    </w:p>
    <w:p>
      <w:r>
        <w:t>The company's merchandising strategy continues to evolve toward higher-value items and unique offerings. Management highlighted selling '$150,000 Emerald Cup 5.8 carat diamond ring, a $20,000 Babe Ruth autographed baseball, and nearly 200 luxury Whisper golf carts at an average price of approximately $9,000' in Q2 2026. This suggests successful expansion into ultra-premium categories that could drive higher average transaction values and differentiate from traditional warehouse club positioning. Combined with strong performance in 'gold and jewelry, tires, majors, health and beauty, and small electrics,' the merchandising mix appears to be successfully driving both traffic and ticket growth.</w:t>
      </w:r>
    </w:p>
    <w:p>
      <w:pPr>
        <w:pStyle w:val="ListBullet"/>
      </w:pPr>
      <w:r>
        <w:rPr>
          <w:i/>
        </w:rPr>
        <w:t>→ Research: Search confirms warehouse club model faces documented competitive pressure from e-commerce and traditional retail. Sources explicitly cite competition from Amazon, Walmart's omnichannel strategy, and traditional supermarkets as structural challenges. Warehouse clubs are adapting through digital integration, expanded assortments, and membership innovation rather than being displaced. (verifiedmarketresearch.com)</w:t>
      </w:r>
    </w:p>
    <w:p>
      <w:r>
        <w:t>Looking at the macro context, Costco's model appears well-positioned for the current environment. With the personal saving rate at 3.60% (down 29.4% year-over-year) and real disposable personal income up 5.6% year-over-year, consumers have both the capacity and inclination to spend. Food at home CPI inflation of 1.9% year-over-year remains manageable compared to food away from home at 3.8%, supporting Costco's bulk grocery value proposition. The company's focus on 'quality and value, and newness and exciting new items' aligns well with consumer behavior in an environment where 'members are willing to and have the capacity to spend' when value is delivered.</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$4.90</w:t>
            </w:r>
          </w:p>
        </w:tc>
        <w:tc>
          <w:tcPr>
            <w:tcW w:type="dxa" w:w="3264"/>
            <w:tcBorders>
              <w:top w:val="single" w:sz="4" w:color="BDC3C7"/>
              <w:bottom w:val="single" w:sz="4" w:color="BDC3C7"/>
              <w:left w:val="single" w:sz="4" w:color="BDC3C7"/>
              <w:right w:val="single" w:sz="4" w:color="BDC3C7"/>
            </w:tcBorders>
          </w:tcPr>
          <w:p>
            <w:r>
              <w:t>$68,925M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$6.49</w:t>
            </w:r>
          </w:p>
        </w:tc>
        <w:tc>
          <w:tcPr>
            <w:tcW w:type="dxa" w:w="3264"/>
            <w:tcBorders>
              <w:top w:val="single" w:sz="4" w:color="BDC3C7"/>
              <w:bottom w:val="single" w:sz="4" w:color="BDC3C7"/>
              <w:left w:val="single" w:sz="4" w:color="BDC3C7"/>
              <w:right w:val="single" w:sz="4" w:color="BDC3C7"/>
            </w:tcBorders>
          </w:tcPr>
          <w:p>
            <w:r>
              <w:t>$93,218M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$20.46</w:t>
            </w:r>
          </w:p>
        </w:tc>
        <w:tc>
          <w:tcPr>
            <w:tcW w:type="dxa" w:w="3264"/>
            <w:tcBorders>
              <w:top w:val="single" w:sz="4" w:color="BDC3C7"/>
              <w:bottom w:val="single" w:sz="4" w:color="BDC3C7"/>
              <w:left w:val="single" w:sz="4" w:color="BDC3C7"/>
              <w:right w:val="single" w:sz="4" w:color="BDC3C7"/>
            </w:tcBorders>
          </w:tcPr>
          <w:p>
            <w:r>
              <w:t>$298,889M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$22.51</w:t>
            </w:r>
          </w:p>
        </w:tc>
        <w:tc>
          <w:tcPr>
            <w:tcW w:type="dxa" w:w="3264"/>
            <w:tcBorders>
              <w:top w:val="single" w:sz="4" w:color="BDC3C7"/>
              <w:bottom w:val="single" w:sz="4" w:color="BDC3C7"/>
              <w:left w:val="single" w:sz="4" w:color="BDC3C7"/>
              <w:right w:val="single" w:sz="4" w:color="BDC3C7"/>
            </w:tcBorders>
          </w:tcPr>
          <w:p>
            <w:r>
              <w:t>$322,027M</w:t>
            </w:r>
          </w:p>
        </w:tc>
      </w:tr>
    </w:tbl>
    <w:p>
      <w:pPr>
        <w:pStyle w:val="SubHeading"/>
      </w:pPr>
      <w:r>
        <w:t>Management guidance:</w:t>
      </w:r>
    </w:p>
    <w:p>
      <w:pPr>
        <w:pStyle w:val="ListBullet"/>
      </w:pPr>
      <w:r>
        <w:t>Units (FY2026): revising our plan net new openings for fiscal year 26 down to 28  — Q1 2026, call, CEO</w:t>
      </w:r>
    </w:p>
    <w:p>
      <w:pPr>
        <w:pStyle w:val="ListBullet"/>
      </w:pPr>
      <w:r>
        <w:t>Units (long-term): we continue to plan for 30 plus net openings per year in future years  — Q1 2026, call, CEO</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+7.60%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comparable_sales_growth</w:t>
            </w:r>
          </w:p>
        </w:tc>
        <w:tc>
          <w:tcPr>
            <w:tcW w:type="dxa" w:w="2448"/>
            <w:tcBorders>
              <w:top w:val="single" w:sz="4" w:color="BDC3C7"/>
              <w:bottom w:val="single" w:sz="4" w:color="BDC3C7"/>
              <w:left w:val="single" w:sz="4" w:color="BDC3C7"/>
              <w:right w:val="single" w:sz="4" w:color="BDC3C7"/>
            </w:tcBorders>
          </w:tcPr>
          <w:p>
            <w:r>
              <w:t>+5.50%</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Management has consistently delivered comparable sales growth in the 6-7% range across multiple quarters. In the Q2 2026 call, management stated 'overall, our results have been very consistent in that 6% or 7%' and in Q1</w:t>
            </w:r>
          </w:p>
        </w:tc>
      </w:tr>
      <w:tr>
        <w:tc>
          <w:tcPr>
            <w:tcW w:type="dxa" w:w="2448"/>
            <w:tcBorders>
              <w:top w:val="single" w:sz="4" w:color="BDC3C7"/>
              <w:bottom w:val="single" w:sz="4" w:color="BDC3C7"/>
              <w:left w:val="single" w:sz="4" w:color="BDC3C7"/>
              <w:right w:val="single" w:sz="4" w:color="BDC3C7"/>
            </w:tcBorders>
          </w:tcPr>
          <w:p>
            <w:r>
              <w:t xml:space="preserve">    new_warehouse_contribution</w:t>
            </w:r>
          </w:p>
        </w:tc>
        <w:tc>
          <w:tcPr>
            <w:tcW w:type="dxa" w:w="2448"/>
            <w:tcBorders>
              <w:top w:val="single" w:sz="4" w:color="BDC3C7"/>
              <w:bottom w:val="single" w:sz="4" w:color="BDC3C7"/>
              <w:left w:val="single" w:sz="4" w:color="BDC3C7"/>
              <w:right w:val="single" w:sz="4" w:color="BDC3C7"/>
            </w:tcBorders>
          </w:tcPr>
          <w:p>
            <w:r>
              <w:t>+2.10%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Management revised FY26 net new openings to 28 warehouses from 35 due to Spain delays. With new warehouses generating $192 million annualized sales in year of opening (up from $150 million two years ago), and assuming 50</w:t>
            </w:r>
          </w:p>
        </w:tc>
      </w:tr>
    </w:tbl>
    <w:p>
      <w:pPr>
        <w:pStyle w:val="SubHeading"/>
      </w:pPr>
      <w:r>
        <w:t>Bear revisions:</w:t>
      </w:r>
    </w:p>
    <w:p>
      <w:pPr>
        <w:pStyle w:val="ListBullet"/>
      </w:pPr>
      <w:r>
        <w:t>revenue_growth.comparable_sales_growth: 6.5 → 5.5 — Weather disruptions in Q2 with 55 warehouses closed and potential macro headwinds from rising unemployment (4.30%, up 2.4% YoY) could pressure traffic growth below the consistent 6-7% range</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ListBullet"/>
      </w:pPr>
      <w:r>
        <w:rPr>
          <w:i/>
        </w:rPr>
        <w:t>→ Research: Costco CFO confirmed Europe expansion is "a tough place to get into, what with all the rules, regulations and permitting process." Spain delays are consistent with documented regulatory execution risks in international retail expansion, supporting the missing angle that broader permitting/regulatory risks are not fully reflected in revenue growth assumptions. (dispatcheseurope.com)</w:t>
      </w:r>
    </w:p>
    <w:p>
      <w:pPr>
        <w:pStyle w:val="PullQuote"/>
      </w:pPr>
      <w:r>
        <w:t>Counter: the analyst claims 6.5% comparable sales growth is sustainable trajectory — but Sequential momentum is decelerating (Q1 2026 revenue growth 8.3% YoY vs historical mid-teens) while macro headwinds intensify. Consumer sentiment at 53.3 is recessionary territory, and the savings rate collapse suggests consumers are already stretched - exactly the wrong setup for a membership warehouse model requiring upfront costs.</w:t>
      </w:r>
    </w:p>
    <w:p>
      <w:pPr>
        <w:pStyle w:val="PullQuote"/>
      </w:pPr>
      <w:r>
        <w:t>Counter: the analyst claims Digital channel development supports growth trajectory — but No quantitative evidence provided for digital contribution, and Costco's model is fundamentally physical (bulk purchasing, in-store experience). Digital may be table stakes rather than growth driver, and the analyst provides no data on digital penetration, growth rates, or profitability.</w:t>
      </w:r>
    </w:p>
    <w:p>
      <w:pPr>
        <w:pStyle w:val="SectionHeading"/>
      </w:pPr>
      <w:r>
        <w:t>3. Consensus Gap &amp; Valuation</w:t>
      </w:r>
    </w:p>
    <w:p>
      <w:r>
        <w:t>Our EPS: $20.46  =  baseline $20.46  +  Σ claim impacts $+0.00 (0.0% below consensus $20.46)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$20.46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$20.46</w:t>
            </w:r>
          </w:p>
        </w:tc>
      </w:tr>
    </w:tbl>
    <w:p>
      <w:pPr>
        <w:pStyle w:val="PullQuote"/>
      </w:pPr>
      <w:r>
        <w:t xml:space="preserve">  ⚠ No edge claims; our EPS matches baseline (consensus).</w:t>
      </w:r>
    </w:p>
    <w:p>
      <w:r>
        <w:t>Our estimate is $0.00 (0.0%) below consensus $20.46. Primary driver: revenue_growth.new_warehouse_contribution (ours +2.1 vs street +1.6, contributing $+0.465 to EPS variant, evidence: moderate). Variant appears within market noise -- may already be priced in. Next catalyst: Next quarterly earnings report (2026-05-28 (22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revenue_growth.new_warehouse_contribution</w:t>
            </w:r>
          </w:p>
        </w:tc>
        <w:tc>
          <w:tcPr>
            <w:tcW w:type="dxa" w:w="1958"/>
            <w:tcBorders>
              <w:top w:val="single" w:sz="4" w:color="BDC3C7"/>
              <w:bottom w:val="single" w:sz="4" w:color="BDC3C7"/>
              <w:left w:val="single" w:sz="4" w:color="BDC3C7"/>
              <w:right w:val="single" w:sz="4" w:color="BDC3C7"/>
            </w:tcBorders>
          </w:tcPr>
          <w:p>
            <w:r>
              <w:t>+2.10</w:t>
            </w:r>
          </w:p>
        </w:tc>
        <w:tc>
          <w:tcPr>
            <w:tcW w:type="dxa" w:w="1958"/>
            <w:tcBorders>
              <w:top w:val="single" w:sz="4" w:color="BDC3C7"/>
              <w:bottom w:val="single" w:sz="4" w:color="BDC3C7"/>
              <w:left w:val="single" w:sz="4" w:color="BDC3C7"/>
              <w:right w:val="single" w:sz="4" w:color="BDC3C7"/>
            </w:tcBorders>
          </w:tcPr>
          <w:p>
            <w:r>
              <w:t>+1.63</w:t>
            </w:r>
          </w:p>
        </w:tc>
        <w:tc>
          <w:tcPr>
            <w:tcW w:type="dxa" w:w="1958"/>
            <w:tcBorders>
              <w:top w:val="single" w:sz="4" w:color="BDC3C7"/>
              <w:bottom w:val="single" w:sz="4" w:color="BDC3C7"/>
              <w:left w:val="single" w:sz="4" w:color="BDC3C7"/>
              <w:right w:val="single" w:sz="4" w:color="BDC3C7"/>
            </w:tcBorders>
          </w:tcPr>
          <w:p>
            <w:r>
              <w:t>+0.465</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revenue_growth.comparable_sales_growth</w:t>
            </w:r>
          </w:p>
        </w:tc>
        <w:tc>
          <w:tcPr>
            <w:tcW w:type="dxa" w:w="1958"/>
            <w:tcBorders>
              <w:top w:val="single" w:sz="4" w:color="BDC3C7"/>
              <w:bottom w:val="single" w:sz="4" w:color="BDC3C7"/>
              <w:left w:val="single" w:sz="4" w:color="BDC3C7"/>
              <w:right w:val="single" w:sz="4" w:color="BDC3C7"/>
            </w:tcBorders>
          </w:tcPr>
          <w:p>
            <w:r>
              <w:t>+5.50</w:t>
            </w:r>
          </w:p>
        </w:tc>
        <w:tc>
          <w:tcPr>
            <w:tcW w:type="dxa" w:w="1958"/>
            <w:tcBorders>
              <w:top w:val="single" w:sz="4" w:color="BDC3C7"/>
              <w:bottom w:val="single" w:sz="4" w:color="BDC3C7"/>
              <w:left w:val="single" w:sz="4" w:color="BDC3C7"/>
              <w:right w:val="single" w:sz="4" w:color="BDC3C7"/>
            </w:tcBorders>
          </w:tcPr>
          <w:p>
            <w:r>
              <w:t>+5.04</w:t>
            </w:r>
          </w:p>
        </w:tc>
        <w:tc>
          <w:tcPr>
            <w:tcW w:type="dxa" w:w="1958"/>
            <w:tcBorders>
              <w:top w:val="single" w:sz="4" w:color="BDC3C7"/>
              <w:bottom w:val="single" w:sz="4" w:color="BDC3C7"/>
              <w:left w:val="single" w:sz="4" w:color="BDC3C7"/>
              <w:right w:val="single" w:sz="4" w:color="BDC3C7"/>
            </w:tcBorders>
          </w:tcPr>
          <w:p>
            <w:r>
              <w:t>+0.455</w:t>
            </w:r>
          </w:p>
        </w:tc>
        <w:tc>
          <w:tcPr>
            <w:tcW w:type="dxa" w:w="1958"/>
            <w:tcBorders>
              <w:top w:val="single" w:sz="4" w:color="BDC3C7"/>
              <w:bottom w:val="single" w:sz="4" w:color="BDC3C7"/>
              <w:left w:val="single" w:sz="4" w:color="BDC3C7"/>
              <w:right w:val="single" w:sz="4" w:color="BDC3C7"/>
            </w:tcBorders>
          </w:tcPr>
          <w:p>
            <w:r>
              <w:t>0.70</w:t>
            </w:r>
          </w:p>
        </w:tc>
      </w:tr>
    </w:tbl>
    <w:p>
      <w:r>
        <w:t>Priced in: likely — Variant (+0.0%) within implied move noise (1.8%)</w:t>
      </w:r>
    </w:p>
    <w:p>
      <w:r>
        <w:t>Edge verdict: NO_CLEAR_EDGE (score 0.000).</w:t>
      </w:r>
    </w:p>
    <w:p>
      <w:pPr>
        <w:pStyle w:val="SectionHeading"/>
      </w:pPr>
      <w:r>
        <w:t>4. Catalysts</w:t>
      </w:r>
    </w:p>
    <w:p>
      <w:pPr>
        <w:pStyle w:val="ListBullet"/>
      </w:pPr>
      <w:r>
        <w:t>Next quarterly earnings report (2026-05-28 (22 days)) — resolves revenue + margins + guidance; confirms or challenges</w:t>
      </w:r>
    </w:p>
    <w:p>
      <w:pPr>
        <w:pStyle w:val="ListBullet"/>
      </w:pPr>
      <w:r>
        <w:t>Resolution: Aggressive expansion will drive above-consensus growth (Resolves at earnings (2026-05-28))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financial impact of the 7-warehouse reduction in FY26 expansion plans (Unknown timing) — resolves multiple; resolves uncertainty</w:t>
      </w:r>
    </w:p>
    <w:p>
      <w:pPr>
        <w:pStyle w:val="ListBullet"/>
      </w:pPr>
      <w:r>
        <w:t>Quantified benefit from extended member hours beyond the 1% traffic impact mentioned (Unknown timing) — resolves multiple; resolves uncertainty</w:t>
      </w:r>
    </w:p>
    <w:p>
      <w:pPr>
        <w:pStyle w:val="SectionHeading"/>
      </w:pPr>
      <w:r>
        <w:t>5. Risks, Blind Spots &amp; Kill Criteria</w:t>
      </w:r>
    </w:p>
    <w:p>
      <w:pPr>
        <w:pStyle w:val="SubHeading"/>
      </w:pPr>
      <w:r>
        <w:t>Top risks:</w:t>
      </w:r>
    </w:p>
    <w:p>
      <w:pPr>
        <w:pStyle w:val="ListBullet"/>
      </w:pPr>
      <w:r>
        <w:t>Analyst assumes 2.1% revenue contribution from new warehouse expansion — counter: Management already cut FY26 warehouse openings from 35 to 28 in Q1 2026 due to Spain delays, representing a 20% reduction in planned expansion (source: transcripts guidance tracker) [serious]</w:t>
      </w:r>
    </w:p>
    <w:p>
      <w:pPr>
        <w:pStyle w:val="ListBullet"/>
      </w:pPr>
      <w:r>
        <w:t>Aggressive expansion will drive above-consensus growth — counter: Management reduced FY26 warehouse opening plans from 35 to 28 locations due to execution delays in Spain, representing a 20% reduction in near-term unit growth plans [moderate]</w:t>
      </w:r>
    </w:p>
    <w:p>
      <w:pPr>
        <w:pStyle w:val="ListBullet2"/>
      </w:pPr>
      <w:r>
        <w:rPr>
          <w:i/>
        </w:rPr>
        <w:t>→ Research confirms: Management confirmed reduction from 35 to 28 FY26 warehouse openings due to Spain construction delays. CEO Vachris stated: 'delays with a couple of our buildings in Spain resulted in us revising our planned net new openings for fiscal year 2026 down to 28.' (mensjournal.com)</w:t>
      </w:r>
    </w:p>
    <w:p>
      <w:pPr>
        <w:pStyle w:val="ListBullet"/>
      </w:pPr>
      <w:r>
        <w:t>Analyst blind spot — counter: Labor cost inflation impact: Retail trade wages up 4.0% YoY vs food-at-home CPI only 1.9% - Costco's wage premium model faces margin pressure when labor inflation outpaces product inflation [moderate]</w:t>
      </w:r>
    </w:p>
    <w:p>
      <w:pPr>
        <w:pStyle w:val="SubHeading"/>
      </w:pPr>
      <w:r>
        <w:t>Blind spots (auditor-independent):</w:t>
      </w:r>
    </w:p>
    <w:p>
      <w:pPr>
        <w:pStyle w:val="ListBullet"/>
      </w:pPr>
      <w:r>
        <w:t>Labor cost inflation impact: Retail trade wages up 4.0% YoY vs food-at-home CPI only 1.9% - Costco's wage premium model faces margin pressure when labor inflation outpaces product inflation</w:t>
      </w:r>
    </w:p>
    <w:p>
      <w:pPr>
        <w:pStyle w:val="ListBullet"/>
      </w:pPr>
      <w:r>
        <w:t>Consumer health deterioration: Personal savings rate down 29.4% YoY to 3.6% with rising unemployment suggests the core Costco demographic (bulk buyers with upfront membership costs) may be under stress</w:t>
      </w:r>
    </w:p>
    <w:p>
      <w:pPr>
        <w:pStyle w:val="ListBullet"/>
      </w:pPr>
      <w:r>
        <w:t>Competitive positioning shift: Food-away-from-home CPI (+3.8%) significantly outpacing food-at-home CPI (+1.9%) should benefit Costco, but analyst doesn't capitalize on this structural tailwind</w:t>
      </w:r>
    </w:p>
    <w:p>
      <w:pPr>
        <w:pStyle w:val="KillCriteria"/>
      </w:pPr>
      <w:r>
        <w:t>What would change our mind: Print on revenue_growth.new_warehouse_contribution comes in below our +2.1 figure (toward street +1.6) in the next 1-2 prints.</w:t>
      </w:r>
    </w:p>
    <w:p>
      <w:pPr>
        <w:pStyle w:val="SectionHeading"/>
      </w:pPr>
      <w:r>
        <w:t>Appendix</w:t>
      </w:r>
    </w:p>
    <w:p>
      <w:pPr>
        <w:pStyle w:val="SubHeading"/>
      </w:pPr>
      <w:r>
        <w:t>Business context:</w:t>
      </w:r>
    </w:p>
    <w:p>
      <w:r>
        <w:t>Costco operates membership-based warehouse clubs selling bulk merchandise at low margins while generating profits primarily from membership fees. The company operates 928 warehouses globally and drives growth through new store expansion and digital channel development.</w:t>
      </w:r>
    </w:p>
    <w:p>
      <w:pPr>
        <w:pStyle w:val="SubHeading"/>
      </w:pPr>
      <w:r>
        <w:t>Evidence gaps (research TODO):</w:t>
      </w:r>
    </w:p>
    <w:p>
      <w:pPr>
        <w:pStyle w:val="ListBullet"/>
      </w:pPr>
      <w:r>
        <w:t>Specific financial impact of the 7-warehouse reduction in FY26 expansion plans</w:t>
      </w:r>
    </w:p>
    <w:p>
      <w:pPr>
        <w:pStyle w:val="ListBullet"/>
      </w:pPr>
      <w:r>
        <w:t>Quantified benefit from extended member hours beyond the 1% traffic impact mentioned</w:t>
      </w:r>
    </w:p>
    <w:p>
      <w:pPr>
        <w:pStyle w:val="ListBullet"/>
      </w:pPr>
      <w:r>
        <w:t>Breakdown of digital sales growth between delivery services vs. direct e-commerce</w:t>
      </w:r>
    </w:p>
    <w:p>
      <w:pPr>
        <w:pStyle w:val="ListBullet"/>
      </w:pPr>
      <w:r>
        <w:t>Margin impact from shift toward higher-value merchandise categories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