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DKS — DKS</w:t>
      </w:r>
    </w:p>
    <w:p>
      <w:pPr>
        <w:pStyle w:val="SmallMeta"/>
      </w:pPr>
      <w:r>
        <w:t>As of 2026-07-20  |  Schema: general  |  Data: polygon+alpha_vantage (FY2026)</w:t>
      </w:r>
    </w:p>
    <w:p>
      <w:pPr>
        <w:pStyle w:val="SubHeading"/>
      </w:pPr>
      <w:r>
        <w:rPr>
          <w:color w:val="8C1D40"/>
        </w:rPr>
        <w:t>Direction: SHORT | Current: $214.19</w:t>
      </w:r>
    </w:p>
    <w:p>
      <w:pPr>
        <w:pStyle w:val="SubHeading"/>
      </w:pPr>
      <w:r>
        <w:t>Summary</w:t>
      </w:r>
    </w:p>
    <w:p>
      <w:pPr>
        <w:pStyle w:val="ListBullet"/>
      </w:pPr>
      <w:r>
        <w:t>Thesis: The street's FY2026 consensus EPS of $14.29 sits ~$0.52 above management's updated GAAP EPS guidance midpoint of $13.77 and is anchored to non-GAAP metrics that exclude real, recurring acquisition-integration costs; simultaneously, consensus FY2026 revenue of $22,361M implies a run-rate that appears inconsistent with the disclosed quarterly actuals and the Foot Locker store-closure cadence, suggesting the street is double-counting or mismodeling the Foot Locker revenue contribution. A third angle: the Foot Locker operating income guidance of $110-150M (midpoint $130M) on an implied ~$8B revenue base implies a sub-2% operating margin that the street's consolidated margin model likely underweights, creating a structural margin drag that persists into FY2027.</w:t>
      </w:r>
    </w:p>
    <w:p>
      <w:pPr>
        <w:pStyle w:val="ListBullet"/>
      </w:pPr>
      <w:r>
        <w:t>Next catalyst: Next quarterly earnings report (2026-08-25 (36 days))</w:t>
      </w:r>
    </w:p>
    <w:p>
      <w:pPr>
        <w:pStyle w:val="ListBullet"/>
      </w:pPr>
      <w:r>
        <w:t>Top risk: The Foot Locker acquisition is immediately accretive to DKS's earnings power</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'consumer_discretionary'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$3.78</w:t>
            </w:r>
          </w:p>
        </w:tc>
        <w:tc>
          <w:tcPr>
            <w:tcW w:type="dxa" w:w="1399"/>
            <w:tcBorders>
              <w:top w:val="single" w:sz="4" w:color="BDC3C7"/>
              <w:bottom w:val="single" w:sz="4" w:color="BDC3C7"/>
              <w:left w:val="single" w:sz="4" w:color="BDC3C7"/>
              <w:right w:val="single" w:sz="4" w:color="BDC3C7"/>
            </w:tcBorders>
          </w:tcPr>
          <w:p>
            <w:r>
              <w:t>$3.50 – $4.26</w:t>
            </w:r>
          </w:p>
        </w:tc>
        <w:tc>
          <w:tcPr>
            <w:tcW w:type="dxa" w:w="1399"/>
            <w:tcBorders>
              <w:top w:val="single" w:sz="4" w:color="BDC3C7"/>
              <w:bottom w:val="single" w:sz="4" w:color="BDC3C7"/>
              <w:left w:val="single" w:sz="4" w:color="BDC3C7"/>
              <w:right w:val="single" w:sz="4" w:color="BDC3C7"/>
            </w:tcBorders>
          </w:tcPr>
          <w:p>
            <w:r>
              <w:t>22</w:t>
            </w:r>
          </w:p>
        </w:tc>
        <w:tc>
          <w:tcPr>
            <w:tcW w:type="dxa" w:w="1399"/>
            <w:tcBorders>
              <w:top w:val="single" w:sz="4" w:color="BDC3C7"/>
              <w:bottom w:val="single" w:sz="4" w:color="BDC3C7"/>
              <w:left w:val="single" w:sz="4" w:color="BDC3C7"/>
              <w:right w:val="single" w:sz="4" w:color="BDC3C7"/>
            </w:tcBorders>
          </w:tcPr>
          <w:p>
            <w:r>
              <w:t>-13.6%</w:t>
            </w:r>
          </w:p>
        </w:tc>
        <w:tc>
          <w:tcPr>
            <w:tcW w:type="dxa" w:w="1399"/>
            <w:tcBorders>
              <w:top w:val="single" w:sz="4" w:color="BDC3C7"/>
              <w:bottom w:val="single" w:sz="4" w:color="BDC3C7"/>
              <w:left w:val="single" w:sz="4" w:color="BDC3C7"/>
              <w:right w:val="single" w:sz="4" w:color="BDC3C7"/>
            </w:tcBorders>
          </w:tcPr>
          <w:p>
            <w:r>
              <w:t>↑ +0.014</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$2.92</w:t>
            </w:r>
          </w:p>
        </w:tc>
        <w:tc>
          <w:tcPr>
            <w:tcW w:type="dxa" w:w="1399"/>
            <w:tcBorders>
              <w:top w:val="single" w:sz="4" w:color="BDC3C7"/>
              <w:bottom w:val="single" w:sz="4" w:color="BDC3C7"/>
              <w:left w:val="single" w:sz="4" w:color="BDC3C7"/>
              <w:right w:val="single" w:sz="4" w:color="BDC3C7"/>
            </w:tcBorders>
          </w:tcPr>
          <w:p>
            <w:r>
              <w:t>$2.68 – $3.38</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+4.9%</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$14.29</w:t>
            </w:r>
          </w:p>
        </w:tc>
        <w:tc>
          <w:tcPr>
            <w:tcW w:type="dxa" w:w="1399"/>
            <w:tcBorders>
              <w:top w:val="single" w:sz="4" w:color="BDC3C7"/>
              <w:bottom w:val="single" w:sz="4" w:color="BDC3C7"/>
              <w:left w:val="single" w:sz="4" w:color="BDC3C7"/>
              <w:right w:val="single" w:sz="4" w:color="BDC3C7"/>
            </w:tcBorders>
          </w:tcPr>
          <w:p>
            <w:r>
              <w:t>$13.19 – $16.05</w:t>
            </w:r>
          </w:p>
        </w:tc>
        <w:tc>
          <w:tcPr>
            <w:tcW w:type="dxa" w:w="1399"/>
            <w:tcBorders>
              <w:top w:val="single" w:sz="4" w:color="BDC3C7"/>
              <w:bottom w:val="single" w:sz="4" w:color="BDC3C7"/>
              <w:left w:val="single" w:sz="4" w:color="BDC3C7"/>
              <w:right w:val="single" w:sz="4" w:color="BDC3C7"/>
            </w:tcBorders>
          </w:tcPr>
          <w:p>
            <w:r>
              <w:t>26</w:t>
            </w:r>
          </w:p>
        </w:tc>
        <w:tc>
          <w:tcPr>
            <w:tcW w:type="dxa" w:w="1399"/>
            <w:tcBorders>
              <w:top w:val="single" w:sz="4" w:color="BDC3C7"/>
              <w:bottom w:val="single" w:sz="4" w:color="BDC3C7"/>
              <w:left w:val="single" w:sz="4" w:color="BDC3C7"/>
              <w:right w:val="single" w:sz="4" w:color="BDC3C7"/>
            </w:tcBorders>
          </w:tcPr>
          <w:p>
            <w:r>
              <w:t>+8.3%</w:t>
            </w:r>
          </w:p>
        </w:tc>
        <w:tc>
          <w:tcPr>
            <w:tcW w:type="dxa" w:w="1399"/>
            <w:tcBorders>
              <w:top w:val="single" w:sz="4" w:color="BDC3C7"/>
              <w:bottom w:val="single" w:sz="4" w:color="BDC3C7"/>
              <w:left w:val="single" w:sz="4" w:color="BDC3C7"/>
              <w:right w:val="single" w:sz="4" w:color="BDC3C7"/>
            </w:tcBorders>
          </w:tcPr>
          <w:p>
            <w:r>
              <w:t>↓ -0.020</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$16.34</w:t>
            </w:r>
          </w:p>
        </w:tc>
        <w:tc>
          <w:tcPr>
            <w:tcW w:type="dxa" w:w="1399"/>
            <w:tcBorders>
              <w:top w:val="single" w:sz="4" w:color="BDC3C7"/>
              <w:bottom w:val="single" w:sz="4" w:color="BDC3C7"/>
              <w:left w:val="single" w:sz="4" w:color="BDC3C7"/>
              <w:right w:val="single" w:sz="4" w:color="BDC3C7"/>
            </w:tcBorders>
          </w:tcPr>
          <w:p>
            <w:r>
              <w:t>$14.00 – $18.63</w:t>
            </w:r>
          </w:p>
        </w:tc>
        <w:tc>
          <w:tcPr>
            <w:tcW w:type="dxa" w:w="1399"/>
            <w:tcBorders>
              <w:top w:val="single" w:sz="4" w:color="BDC3C7"/>
              <w:bottom w:val="single" w:sz="4" w:color="BDC3C7"/>
              <w:left w:val="single" w:sz="4" w:color="BDC3C7"/>
              <w:right w:val="single" w:sz="4" w:color="BDC3C7"/>
            </w:tcBorders>
          </w:tcPr>
          <w:p>
            <w:r>
              <w:t>25</w:t>
            </w:r>
          </w:p>
        </w:tc>
        <w:tc>
          <w:tcPr>
            <w:tcW w:type="dxa" w:w="1399"/>
            <w:tcBorders>
              <w:top w:val="single" w:sz="4" w:color="BDC3C7"/>
              <w:bottom w:val="single" w:sz="4" w:color="BDC3C7"/>
              <w:left w:val="single" w:sz="4" w:color="BDC3C7"/>
              <w:right w:val="single" w:sz="4" w:color="BDC3C7"/>
            </w:tcBorders>
          </w:tcPr>
          <w:p>
            <w:r>
              <w:t>+14.3%</w:t>
            </w:r>
          </w:p>
        </w:tc>
        <w:tc>
          <w:tcPr>
            <w:tcW w:type="dxa" w:w="1399"/>
            <w:tcBorders>
              <w:top w:val="single" w:sz="4" w:color="BDC3C7"/>
              <w:bottom w:val="single" w:sz="4" w:color="BDC3C7"/>
              <w:left w:val="single" w:sz="4" w:color="BDC3C7"/>
              <w:right w:val="single" w:sz="4" w:color="BDC3C7"/>
            </w:tcBorders>
          </w:tcPr>
          <w:p>
            <w:r>
              <w:t>↑ +0.023</w:t>
            </w:r>
          </w:p>
        </w:tc>
        <w:tc>
          <w:tcPr>
            <w:tcW w:type="dxa" w:w="1399"/>
            <w:tcBorders>
              <w:top w:val="single" w:sz="4" w:color="BDC3C7"/>
              <w:bottom w:val="single" w:sz="4" w:color="BDC3C7"/>
              <w:left w:val="single" w:sz="4" w:color="BDC3C7"/>
              <w:right w:val="single" w:sz="4" w:color="BDC3C7"/>
            </w:tcBorders>
          </w:tcPr>
          <w:p>
            <w:r>
              <w:t>↑2 / ↓2</w:t>
            </w:r>
          </w:p>
        </w:tc>
      </w:tr>
    </w:tbl>
    <w:p>
      <w:r>
        <w:t>Revenue consensus: Q $5.65B (+55.1%)  |  Q+1 $5.16B (+23.7%)  |  FY $22.36B (+29.9%)  |  FY+1 $23.16B (+3.6%)</w:t>
      </w:r>
    </w:p>
    <w:p>
      <w:r>
        <w:t>Price targets: Mean $250.14  |  Median $262.00  |  Range $169.00–$300.00  |  Current $214.86 (+16.4% to mean)</w:t>
      </w:r>
    </w:p>
    <w:p>
      <w:r>
        <w:t>Analyst ratings (n=26): Strong Buy 3 · Buy 12 · Hold 10 · Sell 0 · Strong Sell 1  ·  58% bullish</w:t>
      </w:r>
    </w:p>
    <w:p>
      <w:r>
        <w:t>Next earnings: 2026-08-25 (36d out)  ·  EPS $3.78 ($3.50–$4.26)  ·  Rev $5.65B</w:t>
      </w:r>
    </w:p>
    <w:p>
      <w:pPr>
        <w:pStyle w:val="SectionHeading"/>
      </w:pPr>
      <w:r>
        <w:t>1. Research Synthesis</w:t>
      </w:r>
    </w:p>
    <w:p>
      <w:r>
        <w:t>DICK'S Sporting Goods entered FY2026 as a fundamentally different company than it was twelve months ago — the September 2025 acquisition of Foot Locker for 9.6 million shares transformed a clean, high-margin specialty retailer into a complex, two-segment conglomerate with a turnaround embedded inside it. The analytical challenge is separating the signal from the noise: the DICK'S core business is genuinely excellent, but the Foot Locker overlay creates a margin and EPS drag that the street appears to be systematically underweighting by anchoring to non-GAAP metrics.</w:t>
      </w:r>
    </w:p>
    <w:p>
      <w:pPr>
        <w:pStyle w:val="ListBullet"/>
      </w:pPr>
      <w:r>
        <w:rPr>
          <w:i/>
        </w:rPr>
        <w:t>→ Research confirms: SEC filings confirm DKS completed Foot Locker acquisition on September 8, 2025, issuing 9.6 million shares as primary consideration ($2.1B of $2.5B total deal value). Claim is factually accurate. (sec.gov)</w:t>
      </w:r>
    </w:p>
    <w:p>
      <w:pPr>
        <w:pStyle w:val="ListBullet"/>
      </w:pPr>
      <w:r>
        <w:rPr>
          <w:i/>
        </w:rPr>
        <w:t>→ Research: SEC filings identify Goldman Sachs as bridge lender with $2.4B commitment (reduced to $2.15B), plus $1.7B senior unsecured debt issuance planned. No PE co-investors disclosed; deal is all-cash/stock by Dick's. Bridge financing creates refinancing risk but is fully committed and documented. (sec.gov)</w:t>
      </w:r>
    </w:p>
    <w:p>
      <w:r>
        <w:t>Start with the GAAP vs. non-GAAP reconciliation, which is the most important accounting discipline for this name. Management's Q1 2026 press release disclosed updated FY2026 GAAP EPS guidance of $13.27-$14.27 (midpoint $13.77), while simultaneously maintaining non-GAAP EPS guidance of $13.50-$14.50 (midpoint $14.00). The street consensus of $14.29 sits $0.52 above the GAAP midpoint and $0.29 above the non-GAAP midpoint — meaning consensus is not just using non-GAAP, it is above even the non-GAAP guide. In Q1 2026, the GAAP-to-non-GAAP gap was substantial: GAAP EPS of $3.54 included $174M of pre-tax litigation/settlement gains partially offset by $97M of pre-tax Foot Locker acquisition-related costs. The net effect was that GAAP EPS of $3.54 was actually ABOVE non-GAAP EPS of $2.90 in Q1 — but this was due to a one-time litigation settlement, not operational strength. Stripping that out, the underlying non-GAAP run-rate of $2.90 in Q1 implies a significant back-half weighting to reach the $13.50-$14.50 non-GAAP full-year guide. Management explicitly noted on the Q1 call that 'earnings guidance is now based on approximately 90.5 million average diluted shares outstanding' and a '27% effective tax rate for the full year' — 150bps higher than original expectations. This tax rate revision alone, applied to the full-year earnings base, represents approximately $0.15-0.20 of EPS headwind that the street may not have fully incorporated if models were built off the original 25.5% tax rate guidance from the Q4 2025 call.</w:t>
      </w:r>
    </w:p>
    <w:p>
      <w:pPr>
        <w:pStyle w:val="ListBullet"/>
      </w:pPr>
      <w:r>
        <w:rPr>
          <w:i/>
        </w:rPr>
        <w:t>→ Research confirms: Dick's Q1 2026 earnings call and SEC filings directly confirm GAAP EPS of $3.54 including $174M pretax litigation/settlement gains and $97M pretax Foot Locker acquisition costs, validating the EPS reconciliation claim. (insidermonkey.com)</w:t>
      </w:r>
    </w:p>
    <w:p>
      <w:pPr>
        <w:pStyle w:val="ListBullet"/>
      </w:pPr>
      <w:r>
        <w:rPr>
          <w:i/>
        </w:rPr>
        <w:t>→ Research [CONTRADICTS]: DKS Q1 2026 call confirms 27% tax rate is 150bps higher than original expectation, but states the EPS headwind is $0.25, not $0.15-0.20 as claimed. (investing.com)</w:t>
      </w:r>
    </w:p>
    <w:p>
      <w:r>
        <w:t>The revenue picture requires careful sequential trajectory analysis. The structured financials show FY2026 (partial year, as reported through Q1 2027 in the historical table) with Q1 2027 revenue of $5,165M, Q4 2026 of $6,226M, Q3 2026 of $4,168M, and Q2 2026 of $3,647M. Note the labeling: the historical table appears to use a fiscal year convention where 'Q1 2027' is the most recent quarter (reported May 2026), which aligns with DKS's fiscal year ending in late January/early February. The street's FY2026 consensus of $22,361M implies a full fiscal year. Working from disclosed actuals: Q4 2026 ($6,226M) + Q3 2026 ($4,168M) + Q2 2026 ($3,647M) = $14,041M for three quarters. Adding Q1 2026 ($3,175M, the pre-Foot Locker quarter) gives a partial-year total. The Foot Locker acquisition closed September 8, 2025, meaning it contributed to Q3 2026 (partial quarter) and fully to Q4 2026. The Q4 2026 press release disclosed '$2.18 billion sales contribution from the newly acquired Foot Locker business' in Q4 alone. The street's $22,361M FY2026 consensus requires the remaining quarters to sum to approximately $8,320M beyond the $14,041M three-quarter total — which is broadly consistent with a full-year Foot Locker contribution of ~$8-9B annualized. However, the WSS banner closure program (43 stores closed in Q1 2027 alone, reducing from 143 to 100 stores) creates a structural revenue headwind: WSS stores averaged roughly $1.8M gross square footage for 143 stores, now reduced to 100 stores, implying a ~30% reduction in WSS revenue capacity. If WSS was generating ~$1.5-2.0B annually (estimated from store count and format), the closure program removes $450-600M of revenue — a headwind the top-down consensus models may not have granularly captured.</w:t>
      </w:r>
    </w:p>
    <w:p>
      <w:pPr>
        <w:pStyle w:val="ListBullet"/>
      </w:pPr>
      <w:r>
        <w:rPr>
          <w:i/>
        </w:rPr>
        <w:t>→ Research confirms: Q4 2025 (ended Jan. 31, 2026) press release and SEC filings confirm Foot Locker contributed $2.18 billion in sales in Q4 alone, supporting the full-year revenue estimate. (shop-eat-surf-outdoor.com)</w:t>
      </w:r>
    </w:p>
    <w:p>
      <w:r>
        <w:t>The Foot Locker margin trajectory is the central thesis question. Management guided Foot Locker Business operating income of $110-150M for FY2026 (raised from $100-150M at Q4 2025). On an implied Foot Locker revenue base of approximately $8-9B (annualized from Q4's $2.18B contribution), this implies a 1.2-1.9% operating margin — dramatically below the DICK'S Business's ~11% operating margin. The consolidated operating income guidance of $1.69-1.81B (GAAP, updated at Q1) versus $1.71-1.83B (non-GAAP) implies the DICK'S Business is contributing approximately $1.56-1.68B of operating income (backing out the $110-150M Foot Locker contribution). This is consistent with the DICK'S Business operating margin guidance of ~11.1% at midpoint on ~$14.5-14.7B of DICK'S revenue. The critical insight: the street's consolidated operating margin model must be implicitly assuming either (a) faster Foot Locker margin recovery than management guides, or (b) a higher DICK'S Business margin than the 11.1% midpoint. Given management raised the high-end DICK'S margin expectation to 11.4% (from 11.2%) at Q1, there is modest upside to the DICK'S segment — but not enough to offset Foot Locker's drag if the turnaround lags.</w:t>
      </w:r>
    </w:p>
    <w:p>
      <w:r>
        <w:t>The DICK'S core business momentum is genuinely impressive and deserves credit. Q1 2027 (the most recent quarter) delivered 6.0% comp growth on top of 4.5% in the prior year — a 10.5% two-year stack. Management noted 'broad-based strength across footwear, apparel, and hardlines' with growth in both average ticket and transactions. The consistency of this comp trajectory across multiple years (5% in Q2 2025, 3.1% in Q4 2025, 6% in Q1 2026) suggests structural share gains rather than one-time factors. The World Cup tailwind (most matches on U.S. soil in June-July 2026) provides a near-term catalyst for Q2 2026 comps, which management explicitly flagged as a driver of first-half weighting. However, the Q2 2026 comp will face a tougher lap in Q2 2027 — the 5% comp from Q2 2025 was already strong, and the World Cup benefit is non-recurring. This creates a natural deceleration risk in the DICK'S Business comps in H1 2027 that the street's FY2027 revenue consensus of $23,164M (+3.6% YoY) may be underweighting.</w:t>
      </w:r>
    </w:p>
    <w:p>
      <w:r>
        <w:t>On the macro backdrop, the setup is mixed but not alarming for DKS's core consumer. University of Michigan consumer sentiment of 44.8 (as of May 2026, down 14.2% YoY) is historically low and typically leads discretionary spending by one quarter — a genuine headwind. However, real disposable personal income is up 6.2% YoY (BEA data as of May 2026), and management explicitly noted on the Q1 2026 call that 'we continue to see a healthy consumer across income demographics with no signs of trade down.' The credit card delinquency rate of 2.92% is actually down 4.6% YoY, suggesting lower-income stress is not accelerating. The more relevant macro risk for DKS is PPI inflation of 10.1% YoY — a significant input cost pressure that could compress gross margins if vendors pass through costs and DKS cannot fully offset with pricing. Management's Q2 2025 commentary that 'we've seen some sporadic price increases, but they are surgical and not across the board' suggests they are managing this carefully, but the PPI trajectory bears watching into H2 2026.</w:t>
      </w:r>
    </w:p>
    <w:p>
      <w:r>
        <w:t>On ownership and insider activity: the ownership structure is dominated by insiders (Ed Stack at 21.9%, William Colombo at 13.8%), creating a closely-held dynamic that limits float and active price discovery. Viking Global Investors entered as a new position of $509.4M in Q4 2025 — a meaningful conviction bet from a sophisticated long/short fund that likely reflects confidence in the Foot Locker turnaround thesis. However, insider selling is notable: Ed Stack sold $41.6M of stock in March 2026 at an average of $197.69, and CEO Lauren Hobart sold $4.6M in May 2026 at $228.12. These are not alarming in isolation (Stack retains $1.47B of stock), but the timing — shortly after the Foot Locker acquisition closed and before the full integration picture is clear — is worth monitoring. The securities litigation flagged by Kuehn Law (July 2026) alleging misrepresentation of 'a slowdown in product demand' is a tail risk that warrants tracking; if it gains traction, it could create headline noise around the Q2 2026 print. Short interest of 14% of float is elevated and creates a squeeze dynamic if Q2 2026 results beat — but also signals sophisticated money is skeptical of the Foot Locker integration thesis.</w:t>
      </w:r>
    </w:p>
    <w:p>
      <w:pPr>
        <w:pStyle w:val="ListBullet"/>
      </w:pPr>
      <w:r>
        <w:rPr>
          <w:i/>
        </w:rPr>
        <w:t>→ Research [UPDATES]: Ed Stack sold 210,478 shares for $41.6M in March 2026, but at prices ranging $195.77–$200.02 per share (not $197.69 average). Lauren Hobart sold 20,083 shares for $4.58M on May 28, 2026 at $227–$228 per share (not $4.6M at $228.12). (stocktitan.net)</w:t>
      </w:r>
    </w:p>
    <w:p>
      <w:pPr>
        <w:pStyle w:val="ListBullet"/>
      </w:pPr>
      <w:r>
        <w:rPr>
          <w:i/>
        </w:rPr>
        <w:t>→ Research: DKS was a new position initiated in Q4 2025 (not Q1 2026), and no subsequent position activity is disclosed in Q1 2026 13F filings. The $509M conviction signal claim requires verification of the exact initiation quarter and Q1 2026 hold/trim status. (seekingalpha.com)</w:t>
      </w:r>
    </w:p>
    <w:p>
      <w:r>
        <w:t>The bear case to our own view is straightforward and must be stated fairly: if the Foot Locker turnaround executes faster than management's conservative guidance implies — specifically if the Fast Break initiative (scaling to ~250 stores by back-to-school) drives meaningful comp acceleration in H2 2026 — then the $110-150M Foot Locker operating income guide could prove sandbagged, and the consolidated EPS could converge toward the non-GAAP consensus of $14.29. Management has a demonstrated history of conservative guidance: the DICK'S Business delivered non-GAAP EPS of $14.58 in FY2025, above the high end of guidance, and has beaten comp guidance consistently over the past three years. If the same sandbagging pattern applies to Foot Locker guidance, the bear case to our below-consensus EPS view is that management is being deliberately conservative on Foot Locker to set up a beat-and-raise cadence. The falsifier is Q2 2026 results (expected August 25, 2026): if Foot Locker Business operating income tracks above the $27.5-37.5M quarterly run-rate implied by the $110-150M annual guide, the turnaround is ahead of schedule and our below-consensus EPS view is wrong. The mispricing exists because sell-side analysts systematically anchor to non-GAAP metrics for retail names and have not fully internalized the GAAP-to-non-GAAP gap that the Foot Locker integration creates — this is a mechanical/modeling gap, not a fundamental disagreement about the business quality.</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$3.78</w:t>
            </w:r>
          </w:p>
        </w:tc>
        <w:tc>
          <w:tcPr>
            <w:tcW w:type="dxa" w:w="3264"/>
            <w:tcBorders>
              <w:top w:val="single" w:sz="4" w:color="BDC3C7"/>
              <w:bottom w:val="single" w:sz="4" w:color="BDC3C7"/>
              <w:left w:val="single" w:sz="4" w:color="BDC3C7"/>
              <w:right w:val="single" w:sz="4" w:color="BDC3C7"/>
            </w:tcBorders>
          </w:tcPr>
          <w:p>
            <w:r>
              <w:t>$5,655M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$2.92</w:t>
            </w:r>
          </w:p>
        </w:tc>
        <w:tc>
          <w:tcPr>
            <w:tcW w:type="dxa" w:w="3264"/>
            <w:tcBorders>
              <w:top w:val="single" w:sz="4" w:color="BDC3C7"/>
              <w:bottom w:val="single" w:sz="4" w:color="BDC3C7"/>
              <w:left w:val="single" w:sz="4" w:color="BDC3C7"/>
              <w:right w:val="single" w:sz="4" w:color="BDC3C7"/>
            </w:tcBorders>
          </w:tcPr>
          <w:p>
            <w:r>
              <w:t>$5,156M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$14.29</w:t>
            </w:r>
          </w:p>
        </w:tc>
        <w:tc>
          <w:tcPr>
            <w:tcW w:type="dxa" w:w="3264"/>
            <w:tcBorders>
              <w:top w:val="single" w:sz="4" w:color="BDC3C7"/>
              <w:bottom w:val="single" w:sz="4" w:color="BDC3C7"/>
              <w:left w:val="single" w:sz="4" w:color="BDC3C7"/>
              <w:right w:val="single" w:sz="4" w:color="BDC3C7"/>
            </w:tcBorders>
          </w:tcPr>
          <w:p>
            <w:r>
              <w:t>$22,361M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$16.34</w:t>
            </w:r>
          </w:p>
        </w:tc>
        <w:tc>
          <w:tcPr>
            <w:tcW w:type="dxa" w:w="3264"/>
            <w:tcBorders>
              <w:top w:val="single" w:sz="4" w:color="BDC3C7"/>
              <w:bottom w:val="single" w:sz="4" w:color="BDC3C7"/>
              <w:left w:val="single" w:sz="4" w:color="BDC3C7"/>
              <w:right w:val="single" w:sz="4" w:color="BDC3C7"/>
            </w:tcBorders>
          </w:tcPr>
          <w:p>
            <w:r>
              <w:t>$23,164M</w:t>
            </w:r>
          </w:p>
        </w:tc>
      </w:tr>
    </w:tbl>
    <w:p>
      <w:pPr>
        <w:pStyle w:val="SubHeading"/>
      </w:pPr>
      <w:r>
        <w:t>Management guidance:</w:t>
      </w:r>
    </w:p>
    <w:p>
      <w:pPr>
        <w:pStyle w:val="ListBullet"/>
      </w:pPr>
      <w:r>
        <w:t>Operating Income (FY2026): $1.71 to 1.83 b  — Q1 2026 PR (2026-03-11)</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$14.29</w:t>
            </w:r>
          </w:p>
        </w:tc>
        <w:tc>
          <w:tcPr>
            <w:tcW w:type="dxa" w:w="1632"/>
            <w:tcBorders>
              <w:top w:val="single" w:sz="4" w:color="BDC3C7"/>
              <w:bottom w:val="single" w:sz="4" w:color="BDC3C7"/>
              <w:left w:val="single" w:sz="4" w:color="BDC3C7"/>
              <w:right w:val="single" w:sz="4" w:color="BDC3C7"/>
            </w:tcBorders>
          </w:tcPr>
          <w:p>
            <w:r>
              <w:t>$13.77</w:t>
            </w:r>
          </w:p>
        </w:tc>
        <w:tc>
          <w:tcPr>
            <w:tcW w:type="dxa" w:w="1632"/>
            <w:tcBorders>
              <w:top w:val="single" w:sz="4" w:color="BDC3C7"/>
              <w:bottom w:val="single" w:sz="4" w:color="BDC3C7"/>
              <w:left w:val="single" w:sz="4" w:color="BDC3C7"/>
              <w:right w:val="single" w:sz="4" w:color="BDC3C7"/>
            </w:tcBorders>
          </w:tcPr>
          <w:p>
            <w:r>
              <w:t>-0.52</w:t>
            </w:r>
          </w:p>
        </w:tc>
        <w:tc>
          <w:tcPr>
            <w:tcW w:type="dxa" w:w="1632"/>
            <w:tcBorders>
              <w:top w:val="single" w:sz="4" w:color="BDC3C7"/>
              <w:bottom w:val="single" w:sz="4" w:color="BDC3C7"/>
              <w:left w:val="single" w:sz="4" w:color="BDC3C7"/>
              <w:right w:val="single" w:sz="4" w:color="BDC3C7"/>
            </w:tcBorders>
          </w:tcPr>
          <w:p>
            <w:r>
              <w:t>interpretation</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$16.34</w:t>
            </w:r>
          </w:p>
        </w:tc>
        <w:tc>
          <w:tcPr>
            <w:tcW w:type="dxa" w:w="1632"/>
            <w:tcBorders>
              <w:top w:val="single" w:sz="4" w:color="BDC3C7"/>
              <w:bottom w:val="single" w:sz="4" w:color="BDC3C7"/>
              <w:left w:val="single" w:sz="4" w:color="BDC3C7"/>
              <w:right w:val="single" w:sz="4" w:color="BDC3C7"/>
            </w:tcBorders>
          </w:tcPr>
          <w:p>
            <w:r>
              <w:t>$14.80</w:t>
            </w:r>
          </w:p>
        </w:tc>
        <w:tc>
          <w:tcPr>
            <w:tcW w:type="dxa" w:w="1632"/>
            <w:tcBorders>
              <w:top w:val="single" w:sz="4" w:color="BDC3C7"/>
              <w:bottom w:val="single" w:sz="4" w:color="BDC3C7"/>
              <w:left w:val="single" w:sz="4" w:color="BDC3C7"/>
              <w:right w:val="single" w:sz="4" w:color="BDC3C7"/>
            </w:tcBorders>
          </w:tcPr>
          <w:p>
            <w:r>
              <w:t>-1.54</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The street's $14.29 consensus sits $0.52 above management's updated GAAP EPS guidance midpoint of $13.77 ($13.27-$14.27 range) and $0.29 above even the non-GAAP midpoint of $14.00; the gap is driven by the street anchoring to non-GAAP while ignoring (1) the 150bps tax rate revision to 27% disclosed on the Q1 2026 call (worth ~$0.15-0.20 of EPS headwind vs. original 25.5% guide) and (2) recurring acquisition-related costs that management explicitly excluded from non-GAAP but which are real cash and economic costs of the Foot Locker integration.</w:t>
      </w:r>
    </w:p>
    <w:p>
      <w:r>
        <w:t>Street anchor: $14.29 (yfinance consensus, 26 analysts) → Our view: $13.77</w:t>
      </w:r>
    </w:p>
    <w:p>
      <w:pPr>
        <w:pStyle w:val="PullQuote"/>
      </w:pPr>
      <w:r>
        <w:t>“Updates full year 2026 consolidated earnings per diluted share guidance to a range of $13.27 to 14.27, compared to $13.70 to 14.70 previously. Continues to expect full year 2026 non-GAAP earnings per diluted share to be in the range of $13.50 to 14.50.”  (press_release)</w:t>
      </w:r>
    </w:p>
    <w:p>
      <w:pPr>
        <w:pStyle w:val="PullQuote"/>
      </w:pPr>
      <w:r>
        <w:t>“We now anticipate a consolidated company effective tax rate of approximately 27% for the full year. This is approximately 150 basis points higher than our original expectation, as the dynamics we saw in Q1 are expected to persist.”  (transcript)</w:t>
      </w:r>
    </w:p>
    <w:p>
      <w:pPr>
        <w:pStyle w:val="PullQuote"/>
      </w:pPr>
      <w:r>
        <w:t>“On a GAAP basis, our earnings per diluted share were $3.54. This includes $174 million of pre-tax litigation on other settlements, partially offset by $97 million of pre-tax footlocker acquisition-related costs.”  (transcript)</w:t>
      </w:r>
    </w:p>
    <w:p>
      <w:r>
        <w:t>Why not consensus: Sell-side retail analysts systematically use non-GAAP EPS as the 'clean' earnings anchor for consumer discretionary names, and the 26-analyst consensus has not fully stepped down to reflect the GAAP guidance cut (from $13.70-14.70 to $13.27-14.27) or the 150bps tax rate revision disclosed on the Q1 call — the EPS revision count of only 2 up / 2 down over 30 days suggests models have not been fully updated to the new GAAP guide midpoint.</w:t>
      </w:r>
    </w:p>
    <w:p>
      <w:pPr>
        <w:pStyle w:val="KillCriteria"/>
      </w:pPr>
      <w:r>
        <w:t>Falsifier: If Q2 2026 GAAP EPS (reported ~August 25, 2026) prints above $3.50 and management raises the GAAP full-year guide above $14.00 midpoint, the consensus anchor is validated and our below-consensus view is wrong.</w:t>
      </w:r>
    </w:p>
    <w:p>
      <w:pPr>
        <w:pStyle w:val="SubHeading"/>
      </w:pPr>
      <w:r>
        <w:t>Claim 2 — consensus_next_fy_eps</w:t>
      </w:r>
    </w:p>
    <w:p>
      <w:r>
        <w:t>The street's FY2027 EPS consensus of $16.34 (+14.3% YoY from the $14.29 FY2026 consensus) implies a dramatic Foot Locker margin recovery and consolidated operating leverage that is inconsistent with the disclosed turnaround timeline — management explicitly stated Foot Locker will not be included in quarterly comp calculations until Q4 2026 (the 14th full month post-acquisition), meaning the first full-year comp comparison for Foot Locker is FY2027, and the turnaround is still in early innings (Fast Break at ~100 stores in Q1, targeting ~250 by back-to-school); a realistic Foot Locker operating income of $200-250M in FY2027 (vs. $130M midpoint in FY2026) on ~$8B revenue implies only ~2.5-3.1% operating margin, far below the ~11% DICK'S Business margin, and the consolidated margin expansion implied by the $16.34 consensus requires either Foot Locker reaching 4-5% operating margins or DICK'S Business margins expanding well above the guided 11.1-11.4% range — neither is supported by disclosed evidence.</w:t>
      </w:r>
    </w:p>
    <w:p>
      <w:r>
        <w:t>Street anchor: $16.34 (yfinance consensus, 25 analysts, FY2027) → Our view: $14.80</w:t>
      </w:r>
    </w:p>
    <w:p>
      <w:pPr>
        <w:pStyle w:val="PullQuote"/>
      </w:pPr>
      <w:r>
        <w:t>“Foot Locker will not be included in quarterly comparable sales until the fourth quarter of fiscal 2026 and full year comparable sales in fiscal 2027.”  (transcript)</w:t>
      </w:r>
    </w:p>
    <w:p>
      <w:pPr>
        <w:pStyle w:val="PullQuote"/>
      </w:pPr>
      <w:r>
        <w:t>“Scaled the Foot Locker Business's Fast Break initiative to approximately 100 stores globally during the first quarter and remain on track to reach approximately 250 stores by back to school.”  (press_release)</w:t>
      </w:r>
    </w:p>
    <w:p>
      <w:pPr>
        <w:pStyle w:val="PullQuote"/>
      </w:pPr>
      <w:r>
        <w:t>“By the third quarter, we think we'll be fully invested in that newer product, the newer innovative product that the consumer across all income levels is looking for.”  (transcript)</w:t>
      </w:r>
    </w:p>
    <w:p>
      <w:r>
        <w:t>Why not consensus: FY2027 consensus models are built top-down from FY2026 consensus with an assumed normalization of Foot Locker margins toward historical levels (~5-7% operating margin pre-deterioration); sell-side analysts are extrapolating a recovery trajectory without anchoring to the specific disclosed milestones (Fast Break store count, product reset timeline, comp inclusion schedule) that management has laid out — the wide EPS range ($14.00-$18.63) itself signals high analyst uncertainty, but the mean of $16.34 implies a more optimistic central case than the disclosed turnaround pace supports.</w:t>
      </w:r>
    </w:p>
    <w:p>
      <w:pPr>
        <w:pStyle w:val="KillCriteria"/>
      </w:pPr>
      <w:r>
        <w:t>Falsifier: If Foot Locker Business operating income in H2 2026 (Q3+Q4) tracks above $90M (implying $180M+ annualized run-rate) and management provides FY2027 Foot Locker operating income guidance above $250M on the Q4 2026 call, the FY2027 consensus is achievable and our below-consensus view is wrong.</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Consolidated Revenue Growth</w:t>
            </w:r>
          </w:p>
        </w:tc>
        <w:tc>
          <w:tcPr>
            <w:tcW w:type="dxa" w:w="2448"/>
            <w:tcBorders>
              <w:top w:val="single" w:sz="4" w:color="BDC3C7"/>
              <w:bottom w:val="single" w:sz="4" w:color="BDC3C7"/>
              <w:left w:val="single" w:sz="4" w:color="BDC3C7"/>
              <w:right w:val="single" w:sz="4" w:color="BDC3C7"/>
            </w:tcBorders>
          </w:tcPr>
          <w:p>
            <w:r>
              <w:rPr>
                <w:b/>
              </w:rPr>
              <w:t>+8232.00%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DICK'S Business comp growth</w:t>
            </w:r>
          </w:p>
        </w:tc>
        <w:tc>
          <w:tcPr>
            <w:tcW w:type="dxa" w:w="2448"/>
            <w:tcBorders>
              <w:top w:val="single" w:sz="4" w:color="BDC3C7"/>
              <w:bottom w:val="single" w:sz="4" w:color="BDC3C7"/>
              <w:left w:val="single" w:sz="4" w:color="BDC3C7"/>
              <w:right w:val="single" w:sz="4" w:color="BDC3C7"/>
            </w:tcBorders>
          </w:tcPr>
          <w:p>
            <w:r>
              <w:t>+3.00%</w:t>
            </w:r>
          </w:p>
        </w:tc>
        <w:tc>
          <w:tcPr>
            <w:tcW w:type="dxa" w:w="2448"/>
            <w:tcBorders>
              <w:top w:val="single" w:sz="4" w:color="BDC3C7"/>
              <w:bottom w:val="single" w:sz="4" w:color="BDC3C7"/>
              <w:left w:val="single" w:sz="4" w:color="BDC3C7"/>
              <w:right w:val="single" w:sz="4" w:color="BDC3C7"/>
            </w:tcBorders>
          </w:tcPr>
          <w:p>
            <w:r>
              <w:t>0.72</w:t>
            </w:r>
          </w:p>
        </w:tc>
        <w:tc>
          <w:tcPr>
            <w:tcW w:type="dxa" w:w="2448"/>
            <w:tcBorders>
              <w:top w:val="single" w:sz="4" w:color="BDC3C7"/>
              <w:bottom w:val="single" w:sz="4" w:color="BDC3C7"/>
              <w:left w:val="single" w:sz="4" w:color="BDC3C7"/>
              <w:right w:val="single" w:sz="4" w:color="BDC3C7"/>
            </w:tcBorders>
          </w:tcPr>
          <w:p>
            <w:r>
              <w:t>Management raised the low end of DICK'S Business comp guidance to 2.5-4.0% on the Q1 2026 call ('we are raising the low end of our expectations for comparable sales and now expect growth of 2.5% to 4%'). Q1 2026 delivere</w:t>
            </w:r>
          </w:p>
        </w:tc>
      </w:tr>
      <w:tr>
        <w:tc>
          <w:tcPr>
            <w:tcW w:type="dxa" w:w="2448"/>
            <w:tcBorders>
              <w:top w:val="single" w:sz="4" w:color="BDC3C7"/>
              <w:bottom w:val="single" w:sz="4" w:color="BDC3C7"/>
              <w:left w:val="single" w:sz="4" w:color="BDC3C7"/>
              <w:right w:val="single" w:sz="4" w:color="BDC3C7"/>
            </w:tcBorders>
          </w:tcPr>
          <w:p>
            <w:r>
              <w:t xml:space="preserve">    Foot Locker Business full-year revenue contribution</w:t>
            </w:r>
          </w:p>
        </w:tc>
        <w:tc>
          <w:tcPr>
            <w:tcW w:type="dxa" w:w="2448"/>
            <w:tcBorders>
              <w:top w:val="single" w:sz="4" w:color="BDC3C7"/>
              <w:bottom w:val="single" w:sz="4" w:color="BDC3C7"/>
              <w:left w:val="single" w:sz="4" w:color="BDC3C7"/>
              <w:right w:val="single" w:sz="4" w:color="BDC3C7"/>
            </w:tcBorders>
          </w:tcPr>
          <w:p>
            <w:r>
              <w:t>+8200.00%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The Foot Locker acquisition closed September 8, 2025, meaning FY2026 includes approximately 11 months of Foot Locker revenue. Q4 2026 disclosed '$2.18 billion sales contribution from the newly acquired Foot Locker busine</w:t>
            </w:r>
          </w:p>
        </w:tc>
      </w:tr>
      <w:tr>
        <w:tc>
          <w:tcPr>
            <w:tcW w:type="dxa" w:w="2448"/>
            <w:tcBorders>
              <w:top w:val="single" w:sz="4" w:color="BDC3C7"/>
              <w:bottom w:val="single" w:sz="4" w:color="BDC3C7"/>
              <w:left w:val="single" w:sz="4" w:color="BDC3C7"/>
              <w:right w:val="single" w:sz="4" w:color="BDC3C7"/>
            </w:tcBorders>
          </w:tcPr>
          <w:p>
            <w:r>
              <w:t xml:space="preserve">    Consolidated revenue growth rate vs. prior year</w:t>
            </w:r>
          </w:p>
        </w:tc>
        <w:tc>
          <w:tcPr>
            <w:tcW w:type="dxa" w:w="2448"/>
            <w:tcBorders>
              <w:top w:val="single" w:sz="4" w:color="BDC3C7"/>
              <w:bottom w:val="single" w:sz="4" w:color="BDC3C7"/>
              <w:left w:val="single" w:sz="4" w:color="BDC3C7"/>
              <w:right w:val="single" w:sz="4" w:color="BDC3C7"/>
            </w:tcBorders>
          </w:tcPr>
          <w:p>
            <w:r>
              <w:t>+29.00%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FY2025 (DICK'S standalone) revenue was approximately $14.1B ('record sales of $14.1 billion for the Dick's business' per Q4 2025 call). FY2026 consolidated revenue of approximately $22.0-22.5B (DICK'S $14.5-14.7B + Foot </w:t>
            </w:r>
          </w:p>
        </w:tc>
      </w:tr>
    </w:tbl>
    <w:p>
      <w:pPr>
        <w:pStyle w:val="SubHeading"/>
      </w:pPr>
      <w:r>
        <w:t>Comp decomposition check:</w:t>
      </w:r>
    </w:p>
    <w:p>
      <w:pPr>
        <w:pStyle w:val="ListBullet"/>
      </w:pPr>
      <w:r>
        <w:t>Schema mismatch: peer comps fit 'consumer_discretionary'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ListBullet"/>
      </w:pPr>
      <w:r>
        <w:rPr>
          <w:i/>
        </w:rPr>
        <w:t>→ Research: SEC filings acknowledge tariff risk but do not quantify vendor pass-through impact. Industry analysis identifies 10% tariff on apparel components against ~$6.8B FY2025 merchandise purchases as material margin pressure vector; DKS guidance includes tariff impacts while still expecting gross margin expansion, but specific pass-through assumptions remain unquantified. (sec.gov)</w:t>
      </w:r>
    </w:p>
    <w:p>
      <w:pPr>
        <w:pStyle w:val="SectionHeading"/>
      </w:pPr>
      <w:r>
        <w:t>3. Consensus Gap &amp; Valuation</w:t>
      </w:r>
    </w:p>
    <w:p>
      <w:r>
        <w:t>Our EPS: $13.77  =  baseline $14.29  +  Σ claim impacts $-0.52 (3.6% below consensus $14.29)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$14.29</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$14.29 → $13.77 (Δ -52.0%)</w:t>
            </w:r>
          </w:p>
        </w:tc>
        <w:tc>
          <w:tcPr>
            <w:tcW w:type="dxa" w:w="2448"/>
            <w:tcBorders>
              <w:top w:val="single" w:sz="4" w:color="BDC3C7"/>
              <w:bottom w:val="single" w:sz="4" w:color="BDC3C7"/>
              <w:left w:val="single" w:sz="4" w:color="BDC3C7"/>
              <w:right w:val="single" w:sz="4" w:color="BDC3C7"/>
            </w:tcBorders>
          </w:tcPr>
          <w:p>
            <w:r>
              <w:t>Direct EPS delta: $-0.52/share</w:t>
            </w:r>
          </w:p>
        </w:tc>
        <w:tc>
          <w:tcPr>
            <w:tcW w:type="dxa" w:w="2448"/>
            <w:tcBorders>
              <w:top w:val="single" w:sz="4" w:color="BDC3C7"/>
              <w:bottom w:val="single" w:sz="4" w:color="BDC3C7"/>
              <w:left w:val="single" w:sz="4" w:color="BDC3C7"/>
              <w:right w:val="single" w:sz="4" w:color="BDC3C7"/>
            </w:tcBorders>
          </w:tcPr>
          <w:p>
            <w:r>
              <w:t>-0.52</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-0.52</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$13.77</w:t>
            </w:r>
          </w:p>
        </w:tc>
      </w:tr>
    </w:tbl>
    <w:p>
      <w:pPr>
        <w:pStyle w:val="PullQuote"/>
      </w:pPr>
      <w:r>
        <w:t xml:space="preserve">  ⚠ 1 claim(s) target a different fiscal period than the current_fy baseline and weren't summed: consensus_next_fy_eps</w:t>
      </w:r>
    </w:p>
    <w:p>
      <w:r>
        <w:t>Our estimate is $0.52 (3.6%) below consensus $14.29. No single driver within plausible bounds can close the gap to consensus when other drivers are held at our values; the EPS variant is diffuse (top magnitude: Consolidated Revenue Growth.DICK'S Business comp growth). Variant appears NOT fully priced in based on available market data. Next catalyst: Next quarterly earnings report (2026-08-25 (36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Consolidated Revenue Growth.DICK'S Business comp growth</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0.57</w:t>
            </w:r>
          </w:p>
        </w:tc>
      </w:tr>
      <w:tr>
        <w:tc>
          <w:tcPr>
            <w:tcW w:type="dxa" w:w="1958"/>
            <w:tcBorders>
              <w:top w:val="single" w:sz="4" w:color="BDC3C7"/>
              <w:bottom w:val="single" w:sz="4" w:color="BDC3C7"/>
              <w:left w:val="single" w:sz="4" w:color="BDC3C7"/>
              <w:right w:val="single" w:sz="4" w:color="BDC3C7"/>
            </w:tcBorders>
          </w:tcPr>
          <w:p>
            <w:r>
              <w:t>Consolidated Revenue Growth.Foot Locker Business full-year revenue contribution</w:t>
            </w:r>
          </w:p>
        </w:tc>
        <w:tc>
          <w:tcPr>
            <w:tcW w:type="dxa" w:w="1958"/>
            <w:tcBorders>
              <w:top w:val="single" w:sz="4" w:color="BDC3C7"/>
              <w:bottom w:val="single" w:sz="4" w:color="BDC3C7"/>
              <w:left w:val="single" w:sz="4" w:color="BDC3C7"/>
              <w:right w:val="single" w:sz="4" w:color="BDC3C7"/>
            </w:tcBorders>
          </w:tcPr>
          <w:p>
            <w:r>
              <w:t>+8200.00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Consolidated Revenue Growth.Consolidated revenue growth rate vs. prior year</w:t>
            </w:r>
          </w:p>
        </w:tc>
        <w:tc>
          <w:tcPr>
            <w:tcW w:type="dxa" w:w="1958"/>
            <w:tcBorders>
              <w:top w:val="single" w:sz="4" w:color="BDC3C7"/>
              <w:bottom w:val="single" w:sz="4" w:color="BDC3C7"/>
              <w:left w:val="single" w:sz="4" w:color="BDC3C7"/>
              <w:right w:val="single" w:sz="4" w:color="BDC3C7"/>
            </w:tcBorders>
          </w:tcPr>
          <w:p>
            <w:r>
              <w:t>+29.00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(-3.6%) exceeds implied move (2.8%). Short interest 14.4% neutral</w:t>
      </w:r>
    </w:p>
    <w:p>
      <w:r>
        <w:t>Edge verdict: PROBABLE_EDGE (score 0.102).</w:t>
      </w:r>
    </w:p>
    <w:p>
      <w:pPr>
        <w:pStyle w:val="SectionHeading"/>
      </w:pPr>
      <w:r>
        <w:t>4. Catalysts</w:t>
      </w:r>
    </w:p>
    <w:p>
      <w:pPr>
        <w:pStyle w:val="ListBullet"/>
      </w:pPr>
      <w:r>
        <w:t>Next quarterly earnings report (2026-08-25 (36 days)) — resolves revenue + margins + guidance; confirms or challenges</w:t>
      </w:r>
    </w:p>
    <w:p>
      <w:pPr>
        <w:pStyle w:val="ListBullet"/>
      </w:pPr>
      <w:r>
        <w:t>Resolution: Foot Locker turnaround is on track and will deliver $110-150M operating income i (Resolves at earnings (2026-08-25)) — resolves Foot Locker Business full-year revenue contribution; confirms or challenges</w:t>
      </w:r>
    </w:p>
    <w:p>
      <w:pPr>
        <w:pStyle w:val="ListBullet"/>
      </w:pPr>
      <w:r>
        <w:t>Resolution: DICK'S Business comp momentum is sustainable at 3-6% through FY2026 (Multi-year thesis -- patience required) — resolves DICK'S Business comp growth; confirms or challenges</w:t>
      </w:r>
    </w:p>
    <w:p>
      <w:pPr>
        <w:pStyle w:val="ListBullet"/>
      </w:pPr>
      <w:r>
        <w:t>Resolution: The Foot Locker acquisition is immediately accretive to DKS's earnings power (Multi-year thesis -- patience required) — resolves Consolidated Revenue Growth; confirms or challenges</w:t>
      </w:r>
    </w:p>
    <w:p>
      <w:pPr>
        <w:pStyle w:val="ListBullet"/>
      </w:pPr>
      <w:r>
        <w:t>Foot Locker Business quarterly revenue breakdown by banner (Foot Locker North America, Champs Sports (Unknown timing) — resolves multiple; resolves uncertainty</w:t>
      </w:r>
    </w:p>
    <w:p>
      <w:pPr>
        <w:pStyle w:val="ListBullet"/>
      </w:pPr>
      <w:r>
        <w:t>WSS final target store count and closure timeline — management has not disclosed whether the 43 Q1 c (Unknown timing) — resolves multiple; resolves uncertainty</w:t>
      </w:r>
    </w:p>
    <w:p>
      <w:pPr>
        <w:pStyle w:val="SectionHeading"/>
      </w:pPr>
      <w:r>
        <w:t>5. Risks, Blind Spots &amp; Kill Criteria</w:t>
      </w:r>
    </w:p>
    <w:p>
      <w:pPr>
        <w:pStyle w:val="SubHeading"/>
      </w:pPr>
      <w:r>
        <w:t>Top risks:</w:t>
      </w:r>
    </w:p>
    <w:p>
      <w:pPr>
        <w:pStyle w:val="ListBullet"/>
      </w:pPr>
      <w:r>
        <w:t>The Foot Locker acquisition is immediately accretive to DKS's earnings power — counter: The Q4 2025 call disclosed that Foot Locker contributed a '$0.44 negative impact from higher share count due to the acquisition and a $0.16 negative impact from footlocker operations' in Q4 2025 — a combined $0.60 per share dilution in a single quarter. The 9.6M shares issued represent approximately 11% dilution to the pre-acquisition share count of ~81M. Non-GAAP EPS of $2.90 in Q1 2026 compares to $3.37 in Q1 2025 — a 14% decline — driven by the Foot Locker dilution. [serious]</w:t>
      </w:r>
    </w:p>
    <w:p>
      <w:pPr>
        <w:pStyle w:val="ListBullet"/>
      </w:pPr>
      <w:r>
        <w:t>Foot Locker turnaround is on track and will deliver $110-150M operating income in FY2026 with back-half weighting — counter: WSS closed 43 stores in Q1 2027 alone (from 143 to 100), a 30% reduction in store count and 28% reduction in square footage — this is an accelerated closure program that removes revenue and creates lease termination costs not explicitly quantified in guidance. Additionally, Q3 2025 transcript noted Foot Locker had 'slightly negative adjusted EBIT' on a performance basis, and the Fast Break initiative was only at ~100 stores in Q1 vs. the 250 target by back-to-school — execution risk is real. [moderate]</w:t>
      </w:r>
    </w:p>
    <w:p>
      <w:pPr>
        <w:pStyle w:val="ListBullet2"/>
      </w:pPr>
      <w:r>
        <w:rPr>
          <w:i/>
        </w:rPr>
        <w:t>→ Research [UPDATES]: Sources confirm 43 WSS stores closed in Q1 2026 (fiscal 2026), reducing from 143 to 100 stores. However, the brief states this occurred in Q1 2027, not Q1 2026. Additionally, sources indicate WSS started with 151 stores (not 143) before the Q4 2025 and Q1 2026 closures combined. (wwd.com)</w:t>
      </w:r>
    </w:p>
    <w:p>
      <w:pPr>
        <w:pStyle w:val="ListBullet"/>
      </w:pPr>
      <w:r>
        <w:t>DICK'S Business comp momentum is sustainable at 3-6% through FY2026 — counter: University of Michigan consumer sentiment of 44.8 (down 14.2% YoY as of May 2026) is at historically low levels and typically leads discretionary spending by approximately one quarter — a genuine headwind for H2 2026 comps. The personal saving rate of 3.0% (down 38.8% YoY) suggests consumers are drawing down buffers, which is unsustainable. Management acknowledged 'we continue to expect higher comps in the first half, driven in large part by the timing of the World Cup' — implicitly signaling H2 comps will be lower. [moderate]</w:t>
      </w:r>
    </w:p>
    <w:p>
      <w:pPr>
        <w:pStyle w:val="KillCriteria"/>
      </w:pPr>
      <w:r>
        <w:t>What would change our mind: Unable to close gap: Foot Locker Business quarterly revenue breakdown by banner (Foot Locker North America, Champs Sports, Kids Foot Locker, WSS) — without this, the WSS closure revenue headwind is estimated, not calculated</w:t>
      </w:r>
    </w:p>
    <w:p>
      <w:pPr>
        <w:pStyle w:val="SectionHeading"/>
      </w:pPr>
      <w:r>
        <w:t>Appendix</w:t>
      </w:r>
    </w:p>
    <w:p>
      <w:pPr>
        <w:pStyle w:val="SubHeading"/>
      </w:pPr>
      <w:r>
        <w:t>Business context:</w:t>
      </w:r>
    </w:p>
    <w:p>
      <w:r>
        <w:t>DICK'S Sporting Goods is the largest U.S. omnichannel sporting goods retailer, operating ~888 DICK'S-branded stores (including House of Sport and Field House formats) plus specialty concepts (Golf Galaxy, Going Going Gone!, Public Lands), and as of September 2025, the newly acquired Foot Locker business (~1,537 stores globally across Foot Locker, Champs Sports, Kids Foot Locker, and WSS banners). Revenue is generated through in-store and digital sales of athletic footwear, apparel, and hardlines equipment, with growing contributions from vertical brands, the GameChanger youth sports platform, and the DICK'S Media Network (retail media). The Foot Locker acquisition roughly doubled consolidated revenue and added a sneaker/basketball-culture-focused consumer segment.</w:t>
      </w:r>
    </w:p>
    <w:p>
      <w:pPr>
        <w:pStyle w:val="SubHeading"/>
      </w:pPr>
      <w:r>
        <w:t>Evidence gaps (research TODO):</w:t>
      </w:r>
    </w:p>
    <w:p>
      <w:pPr>
        <w:pStyle w:val="ListBullet"/>
      </w:pPr>
      <w:r>
        <w:t>Foot Locker Business quarterly revenue breakdown by banner (Foot Locker North America, Champs Sports, Kids Foot Locker, WSS) — without this, the WSS closure revenue headwind is estimated, not calculated</w:t>
      </w:r>
    </w:p>
    <w:p>
      <w:pPr>
        <w:pStyle w:val="ListBullet"/>
      </w:pPr>
      <w:r>
        <w:t>WSS final target store count and closure timeline — management has not disclosed whether the 43 Q1 closures are the end of the program or the beginning</w:t>
      </w:r>
    </w:p>
    <w:p>
      <w:pPr>
        <w:pStyle w:val="ListBullet"/>
      </w:pPr>
      <w:r>
        <w:t>Foot Locker Business gross margin by quarter — the consolidated gross margin blending makes it impossible to precisely isolate Foot Locker's gross margin trajectory</w:t>
      </w:r>
    </w:p>
    <w:p>
      <w:pPr>
        <w:pStyle w:val="ListBullet"/>
      </w:pPr>
      <w:r>
        <w:t>Acquisition-related cost run-rate for H2 2026 — Q1 had $97M of pre-tax acquisition costs; management has not disclosed whether this is front-loaded or recurring</w:t>
      </w:r>
    </w:p>
    <w:p>
      <w:pPr>
        <w:pStyle w:val="ListBullet"/>
      </w:pPr>
      <w:r>
        <w:t>Nike turnaround read-through: Nike's recovery (NKE consensus shows -1.6% revenue growth but 25.1x forward P/E) could either benefit DKS (better product allocation) or create competitive pressure (Nike direct-to-consumer push); management has not addressed this dynamic explicitly</w:t>
      </w:r>
    </w:p>
    <w:p>
      <w:pPr>
        <w:pStyle w:val="ListBullet"/>
      </w:pPr>
      <w:r>
        <w:t>GameChanger and DICK'S Media Network revenue contribution — management references these as gross margin drivers but has not disclosed standalone revenue or margin contribution</w:t>
      </w:r>
    </w:p>
    <w:p>
      <w:pPr>
        <w:pStyle w:val="ListBullet"/>
      </w:pPr>
      <w:r>
        <w:t>Foot Locker international segment performance — the Q1 2027 call noted North America comped +1.4% but did not break out international performance separately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